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D486" w14:textId="72F8F566" w:rsidR="000E0FAA" w:rsidRDefault="00730E5A" w:rsidP="00BC3EC3">
      <w:pPr>
        <w:pStyle w:val="Heading1"/>
        <w:jc w:val="center"/>
      </w:pPr>
      <w:r>
        <w:t xml:space="preserve">The Geography and Demographics of </w:t>
      </w:r>
      <w:r w:rsidR="00201CBD">
        <w:t>the Coronavirus in Cincinnati</w:t>
      </w:r>
    </w:p>
    <w:p w14:paraId="53EB2F6F" w14:textId="57899A15" w:rsidR="00BC3EC3" w:rsidRPr="00BC3EC3" w:rsidRDefault="006D2242" w:rsidP="00BC3EC3">
      <w:pPr>
        <w:pStyle w:val="Heading3"/>
        <w:jc w:val="center"/>
      </w:pPr>
      <w:r>
        <w:t>October 15</w:t>
      </w:r>
      <w:r w:rsidR="00BC3EC3">
        <w:t>, 2020</w:t>
      </w:r>
    </w:p>
    <w:p w14:paraId="5BFE270D" w14:textId="4CAD5268" w:rsidR="00730E5A" w:rsidRDefault="00730E5A" w:rsidP="004F270C">
      <w:pPr>
        <w:pStyle w:val="Heading2"/>
      </w:pPr>
      <w:r>
        <w:t>Introduction</w:t>
      </w:r>
    </w:p>
    <w:p w14:paraId="303F3A85" w14:textId="5475F519" w:rsidR="00730E5A" w:rsidRDefault="00730E5A">
      <w:r>
        <w:t>The Cincinnati Health Department has been tracking the Coronavirus by neighborhood, age, gender, and race since March 23.  An interactive map and charts are updated each day</w:t>
      </w:r>
      <w:r w:rsidR="0007746A">
        <w:t xml:space="preserve"> (</w:t>
      </w:r>
      <w:hyperlink r:id="rId7" w:history="1">
        <w:r w:rsidR="0007746A">
          <w:rPr>
            <w:rStyle w:val="Hyperlink"/>
          </w:rPr>
          <w:t>https://www.cincinnati-oh.gov/health/covid-19/</w:t>
        </w:r>
      </w:hyperlink>
      <w:r>
        <w:t>.  I felt it was important to plot the data at discrete times and look for trends and anomalies.  I have also been monitoring the availability of testing sites in different sections of the city.  (If there is no testing, it affects the data.)</w:t>
      </w:r>
    </w:p>
    <w:p w14:paraId="32F0516A" w14:textId="7395A5AF" w:rsidR="00D117AE" w:rsidRDefault="00B038E9" w:rsidP="00B038E9">
      <w:pPr>
        <w:pStyle w:val="Heading2"/>
      </w:pPr>
      <w:r>
        <w:t xml:space="preserve">Demography of </w:t>
      </w:r>
      <w:proofErr w:type="spellStart"/>
      <w:r>
        <w:t>Covid</w:t>
      </w:r>
      <w:proofErr w:type="spellEnd"/>
      <w:r>
        <w:t xml:space="preserve"> Deaths and Confirmed Cases</w:t>
      </w:r>
    </w:p>
    <w:p w14:paraId="4F022741" w14:textId="50A77ECB" w:rsidR="00B038E9" w:rsidRDefault="00B038E9" w:rsidP="00B038E9">
      <w:pPr>
        <w:pStyle w:val="Heading4"/>
      </w:pPr>
      <w:r>
        <w:t>Race and Ethnicity</w:t>
      </w:r>
    </w:p>
    <w:p w14:paraId="55A92DB2" w14:textId="41B92548" w:rsidR="00B038E9" w:rsidRDefault="00B038E9">
      <w:r>
        <w:t xml:space="preserve">Table 1 shows the distribution of deaths and confirmed cases at approximately monthly intervals from June 1 to </w:t>
      </w:r>
      <w:r w:rsidR="00B445D5">
        <w:t>October 14</w:t>
      </w:r>
      <w:r>
        <w:t>.  During that period, blac</w:t>
      </w:r>
      <w:r w:rsidR="00B445D5">
        <w:t>k deaths increased from 24 to 55</w:t>
      </w:r>
      <w:r>
        <w:t xml:space="preserve"> (</w:t>
      </w:r>
      <w:r w:rsidR="00E177D5">
        <w:t>129.2</w:t>
      </w:r>
      <w:r>
        <w:t>%).  Whit</w:t>
      </w:r>
      <w:r w:rsidR="00B445D5">
        <w:t>e deaths increased from 20 to 38 (11</w:t>
      </w:r>
      <w:r>
        <w:t xml:space="preserve">0%).  Hispanic deaths increased from 0 to 1.  Note that race and ethnicity are not always recorded.  As of </w:t>
      </w:r>
      <w:r w:rsidR="00B445D5">
        <w:t>October</w:t>
      </w:r>
      <w:r>
        <w:t xml:space="preserve"> 14, the number of u</w:t>
      </w:r>
      <w:r w:rsidR="00724E1E">
        <w:t>nknown deaths had increased to 8</w:t>
      </w:r>
      <w:r>
        <w:t xml:space="preserve"> (60.0%).</w:t>
      </w:r>
    </w:p>
    <w:p w14:paraId="44B81613" w14:textId="7F76ADA5" w:rsidR="00B038E9" w:rsidRDefault="00B038E9">
      <w:r>
        <w:t xml:space="preserve">The picture in </w:t>
      </w:r>
      <w:r w:rsidRPr="00AD640A">
        <w:rPr>
          <w:b/>
        </w:rPr>
        <w:t>Table 1</w:t>
      </w:r>
      <w:r>
        <w:t xml:space="preserve"> is similar for confirmed cases of </w:t>
      </w:r>
      <w:proofErr w:type="spellStart"/>
      <w:r>
        <w:t>Covid</w:t>
      </w:r>
      <w:proofErr w:type="spellEnd"/>
      <w:r>
        <w:t xml:space="preserve"> 19.  Since June 1, the number of black cases had increase</w:t>
      </w:r>
      <w:r w:rsidR="006A72CF">
        <w:t xml:space="preserve">d from </w:t>
      </w:r>
      <w:r>
        <w:t>368 to 2</w:t>
      </w:r>
      <w:r w:rsidR="00AD640A">
        <w:t>,</w:t>
      </w:r>
      <w:r w:rsidR="00B445D5">
        <w:t>5</w:t>
      </w:r>
      <w:r>
        <w:t xml:space="preserve">54 </w:t>
      </w:r>
      <w:r w:rsidR="006A72CF">
        <w:t>(</w:t>
      </w:r>
      <w:r w:rsidR="00B445D5">
        <w:t>594.0</w:t>
      </w:r>
      <w:r>
        <w:t xml:space="preserve">%) and the number of white cases increased from 324 to </w:t>
      </w:r>
      <w:r w:rsidR="00B445D5">
        <w:t>2,338</w:t>
      </w:r>
      <w:r w:rsidR="00DE4A41">
        <w:t xml:space="preserve"> (</w:t>
      </w:r>
      <w:r w:rsidR="00B445D5">
        <w:t>621.6</w:t>
      </w:r>
      <w:r w:rsidR="00DE4A41">
        <w:t>%)</w:t>
      </w:r>
      <w:r>
        <w:t>.  The number o</w:t>
      </w:r>
      <w:r w:rsidR="00724E1E">
        <w:t>f Hispanic cases had increased</w:t>
      </w:r>
      <w:r>
        <w:t xml:space="preserve"> from 195 to 35</w:t>
      </w:r>
      <w:r w:rsidR="00B445D5">
        <w:t>5</w:t>
      </w:r>
      <w:r>
        <w:t xml:space="preserve"> (</w:t>
      </w:r>
      <w:r w:rsidR="00B445D5">
        <w:t>82.1</w:t>
      </w:r>
      <w:r w:rsidR="00AD640A">
        <w:t>%</w:t>
      </w:r>
      <w:r>
        <w:t>).  Table 1 also shows the percent increas</w:t>
      </w:r>
      <w:r w:rsidR="00724E1E">
        <w:t>e for each group since June 1.</w:t>
      </w:r>
    </w:p>
    <w:p w14:paraId="7933A6F7" w14:textId="77777777" w:rsidR="00B445D5" w:rsidRDefault="00B445D5" w:rsidP="0096706C">
      <w:pPr>
        <w:jc w:val="right"/>
        <w:rPr>
          <w:b/>
          <w:bCs/>
          <w:i/>
          <w:iCs/>
        </w:rPr>
      </w:pPr>
    </w:p>
    <w:tbl>
      <w:tblPr>
        <w:tblW w:w="5000" w:type="pct"/>
        <w:tblLook w:val="04A0" w:firstRow="1" w:lastRow="0" w:firstColumn="1" w:lastColumn="0" w:noHBand="0" w:noVBand="1"/>
      </w:tblPr>
      <w:tblGrid>
        <w:gridCol w:w="941"/>
        <w:gridCol w:w="846"/>
        <w:gridCol w:w="554"/>
        <w:gridCol w:w="704"/>
        <w:gridCol w:w="521"/>
        <w:gridCol w:w="531"/>
        <w:gridCol w:w="821"/>
        <w:gridCol w:w="710"/>
        <w:gridCol w:w="839"/>
        <w:gridCol w:w="674"/>
        <w:gridCol w:w="674"/>
        <w:gridCol w:w="674"/>
        <w:gridCol w:w="851"/>
      </w:tblGrid>
      <w:tr w:rsidR="00B445D5" w:rsidRPr="00B445D5" w14:paraId="7ED4A373" w14:textId="77777777" w:rsidTr="00B445D5">
        <w:trPr>
          <w:trHeight w:val="300"/>
        </w:trPr>
        <w:tc>
          <w:tcPr>
            <w:tcW w:w="5000" w:type="pct"/>
            <w:gridSpan w:val="13"/>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5369043E" w14:textId="77777777" w:rsidR="00B445D5" w:rsidRPr="00B445D5" w:rsidRDefault="00B445D5" w:rsidP="00B445D5">
            <w:pPr>
              <w:spacing w:after="0" w:line="240" w:lineRule="auto"/>
              <w:jc w:val="center"/>
              <w:rPr>
                <w:rFonts w:ascii="Calibri" w:eastAsia="Times New Roman" w:hAnsi="Calibri" w:cs="Calibri"/>
                <w:b/>
                <w:bCs/>
                <w:color w:val="FFFFFF"/>
              </w:rPr>
            </w:pPr>
            <w:r w:rsidRPr="00B445D5">
              <w:rPr>
                <w:rFonts w:ascii="Calibri" w:eastAsia="Times New Roman" w:hAnsi="Calibri" w:cs="Calibri"/>
                <w:b/>
                <w:bCs/>
                <w:color w:val="FFFFFF"/>
              </w:rPr>
              <w:t>Table 1: Deaths and Confirmed Cases by Race and Ethnicity</w:t>
            </w:r>
          </w:p>
        </w:tc>
      </w:tr>
      <w:tr w:rsidR="00B445D5" w:rsidRPr="00B445D5" w14:paraId="58DB7404" w14:textId="77777777" w:rsidTr="00B445D5">
        <w:trPr>
          <w:trHeight w:val="300"/>
        </w:trPr>
        <w:tc>
          <w:tcPr>
            <w:tcW w:w="429" w:type="pct"/>
            <w:tcBorders>
              <w:top w:val="nil"/>
              <w:left w:val="single" w:sz="8" w:space="0" w:color="FFFFFF"/>
              <w:bottom w:val="single" w:sz="8" w:space="0" w:color="FFFFFF"/>
              <w:right w:val="single" w:sz="8" w:space="0" w:color="FFFFFF"/>
            </w:tcBorders>
            <w:shd w:val="clear" w:color="000000" w:fill="4472C4"/>
            <w:vAlign w:val="center"/>
            <w:hideMark/>
          </w:tcPr>
          <w:p w14:paraId="3E8F6651" w14:textId="77777777" w:rsidR="00B445D5" w:rsidRPr="00B445D5" w:rsidRDefault="00B445D5" w:rsidP="00B445D5">
            <w:pPr>
              <w:spacing w:after="0" w:line="240" w:lineRule="auto"/>
              <w:rPr>
                <w:rFonts w:ascii="Calibri" w:eastAsia="Times New Roman" w:hAnsi="Calibri" w:cs="Calibri"/>
                <w:b/>
                <w:bCs/>
                <w:color w:val="FFFFFF"/>
                <w:sz w:val="20"/>
                <w:szCs w:val="20"/>
              </w:rPr>
            </w:pPr>
            <w:r w:rsidRPr="00B445D5">
              <w:rPr>
                <w:rFonts w:ascii="Calibri" w:eastAsia="Times New Roman" w:hAnsi="Calibri" w:cs="Calibri"/>
                <w:b/>
                <w:bCs/>
                <w:color w:val="FFFFFF"/>
                <w:sz w:val="20"/>
                <w:szCs w:val="20"/>
              </w:rPr>
              <w:t> </w:t>
            </w:r>
          </w:p>
        </w:tc>
        <w:tc>
          <w:tcPr>
            <w:tcW w:w="2264" w:type="pct"/>
            <w:gridSpan w:val="6"/>
            <w:tcBorders>
              <w:top w:val="single" w:sz="8" w:space="0" w:color="FFFFFF"/>
              <w:left w:val="nil"/>
              <w:bottom w:val="single" w:sz="8" w:space="0" w:color="FFFFFF"/>
              <w:right w:val="single" w:sz="8" w:space="0" w:color="FFFFFF"/>
            </w:tcBorders>
            <w:shd w:val="clear" w:color="000000" w:fill="B4C6E7"/>
            <w:vAlign w:val="center"/>
            <w:hideMark/>
          </w:tcPr>
          <w:p w14:paraId="1E550EDD"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Deaths</w:t>
            </w:r>
          </w:p>
        </w:tc>
        <w:tc>
          <w:tcPr>
            <w:tcW w:w="2307" w:type="pct"/>
            <w:gridSpan w:val="6"/>
            <w:tcBorders>
              <w:top w:val="single" w:sz="8" w:space="0" w:color="FFFFFF"/>
              <w:left w:val="nil"/>
              <w:bottom w:val="single" w:sz="8" w:space="0" w:color="FFFFFF"/>
              <w:right w:val="single" w:sz="8" w:space="0" w:color="FFFFFF"/>
            </w:tcBorders>
            <w:shd w:val="clear" w:color="000000" w:fill="B4C6E7"/>
            <w:vAlign w:val="center"/>
            <w:hideMark/>
          </w:tcPr>
          <w:p w14:paraId="4027FB2B"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Cases</w:t>
            </w:r>
          </w:p>
        </w:tc>
      </w:tr>
      <w:tr w:rsidR="00B445D5" w:rsidRPr="00B445D5" w14:paraId="01150509" w14:textId="77777777" w:rsidTr="00B445D5">
        <w:trPr>
          <w:trHeight w:val="300"/>
        </w:trPr>
        <w:tc>
          <w:tcPr>
            <w:tcW w:w="429" w:type="pct"/>
            <w:tcBorders>
              <w:top w:val="nil"/>
              <w:left w:val="single" w:sz="8" w:space="0" w:color="FFFFFF"/>
              <w:bottom w:val="single" w:sz="8" w:space="0" w:color="FFFFFF"/>
              <w:right w:val="single" w:sz="8" w:space="0" w:color="FFFFFF"/>
            </w:tcBorders>
            <w:shd w:val="clear" w:color="000000" w:fill="4472C4"/>
            <w:vAlign w:val="center"/>
            <w:hideMark/>
          </w:tcPr>
          <w:p w14:paraId="75FE9DA8" w14:textId="77777777" w:rsidR="00B445D5" w:rsidRPr="00B445D5" w:rsidRDefault="00B445D5" w:rsidP="00B445D5">
            <w:pPr>
              <w:spacing w:after="0" w:line="240" w:lineRule="auto"/>
              <w:rPr>
                <w:rFonts w:ascii="Calibri" w:eastAsia="Times New Roman" w:hAnsi="Calibri" w:cs="Calibri"/>
                <w:b/>
                <w:bCs/>
                <w:color w:val="FFFFFF"/>
                <w:sz w:val="18"/>
                <w:szCs w:val="18"/>
              </w:rPr>
            </w:pPr>
            <w:r w:rsidRPr="00B445D5">
              <w:rPr>
                <w:rFonts w:ascii="Calibri" w:eastAsia="Times New Roman" w:hAnsi="Calibri" w:cs="Calibri"/>
                <w:b/>
                <w:bCs/>
                <w:color w:val="FFFFFF"/>
                <w:sz w:val="18"/>
                <w:szCs w:val="18"/>
              </w:rPr>
              <w:t>Race</w:t>
            </w:r>
          </w:p>
        </w:tc>
        <w:tc>
          <w:tcPr>
            <w:tcW w:w="486" w:type="pct"/>
            <w:tcBorders>
              <w:top w:val="single" w:sz="8" w:space="0" w:color="FFFFFF"/>
              <w:left w:val="nil"/>
              <w:bottom w:val="single" w:sz="8" w:space="0" w:color="FFFFFF"/>
              <w:right w:val="single" w:sz="8" w:space="0" w:color="FFFFFF"/>
            </w:tcBorders>
            <w:shd w:val="clear" w:color="000000" w:fill="D9E2F3"/>
            <w:vAlign w:val="center"/>
            <w:hideMark/>
          </w:tcPr>
          <w:p w14:paraId="43F33EED"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1-Jun</w:t>
            </w:r>
          </w:p>
        </w:tc>
        <w:tc>
          <w:tcPr>
            <w:tcW w:w="330" w:type="pct"/>
            <w:tcBorders>
              <w:top w:val="nil"/>
              <w:left w:val="nil"/>
              <w:bottom w:val="single" w:sz="8" w:space="0" w:color="FFFFFF"/>
              <w:right w:val="single" w:sz="8" w:space="0" w:color="FFFFFF"/>
            </w:tcBorders>
            <w:shd w:val="clear" w:color="000000" w:fill="D9E2F3"/>
            <w:vAlign w:val="center"/>
            <w:hideMark/>
          </w:tcPr>
          <w:p w14:paraId="65C1DE8A"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7-Jul</w:t>
            </w:r>
          </w:p>
        </w:tc>
        <w:tc>
          <w:tcPr>
            <w:tcW w:w="410" w:type="pct"/>
            <w:tcBorders>
              <w:top w:val="nil"/>
              <w:left w:val="nil"/>
              <w:bottom w:val="single" w:sz="8" w:space="0" w:color="FFFFFF"/>
              <w:right w:val="nil"/>
            </w:tcBorders>
            <w:shd w:val="clear" w:color="000000" w:fill="D9E2F3"/>
            <w:vAlign w:val="center"/>
            <w:hideMark/>
          </w:tcPr>
          <w:p w14:paraId="5983492B"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13-Aug</w:t>
            </w:r>
          </w:p>
        </w:tc>
        <w:tc>
          <w:tcPr>
            <w:tcW w:w="297" w:type="pct"/>
            <w:tcBorders>
              <w:top w:val="nil"/>
              <w:left w:val="nil"/>
              <w:bottom w:val="single" w:sz="8" w:space="0" w:color="FFFFFF"/>
              <w:right w:val="single" w:sz="8" w:space="0" w:color="FFFFFF"/>
            </w:tcBorders>
            <w:shd w:val="clear" w:color="000000" w:fill="D9E2F3"/>
            <w:vAlign w:val="center"/>
            <w:hideMark/>
          </w:tcPr>
          <w:p w14:paraId="1C9AEC30"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16-Sep</w:t>
            </w:r>
          </w:p>
        </w:tc>
        <w:tc>
          <w:tcPr>
            <w:tcW w:w="332" w:type="pct"/>
            <w:tcBorders>
              <w:top w:val="nil"/>
              <w:left w:val="nil"/>
              <w:bottom w:val="single" w:sz="8" w:space="0" w:color="FFFFFF"/>
              <w:right w:val="single" w:sz="8" w:space="0" w:color="FFFFFF"/>
            </w:tcBorders>
            <w:shd w:val="clear" w:color="000000" w:fill="D9E2F3"/>
            <w:vAlign w:val="center"/>
            <w:hideMark/>
          </w:tcPr>
          <w:p w14:paraId="7E63A0AF"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14-Oct</w:t>
            </w:r>
          </w:p>
        </w:tc>
        <w:tc>
          <w:tcPr>
            <w:tcW w:w="409" w:type="pct"/>
            <w:tcBorders>
              <w:top w:val="nil"/>
              <w:left w:val="nil"/>
              <w:bottom w:val="single" w:sz="8" w:space="0" w:color="FFFFFF"/>
              <w:right w:val="single" w:sz="8" w:space="0" w:color="FFFFFF"/>
            </w:tcBorders>
            <w:shd w:val="clear" w:color="000000" w:fill="D9E2F3"/>
            <w:vAlign w:val="center"/>
            <w:hideMark/>
          </w:tcPr>
          <w:p w14:paraId="4F186311"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w:t>
            </w:r>
            <w:proofErr w:type="spellStart"/>
            <w:r w:rsidRPr="00B445D5">
              <w:rPr>
                <w:rFonts w:ascii="Calibri" w:eastAsia="Times New Roman" w:hAnsi="Calibri" w:cs="Calibri"/>
                <w:color w:val="000000"/>
                <w:sz w:val="20"/>
                <w:szCs w:val="20"/>
              </w:rPr>
              <w:t>Inc</w:t>
            </w:r>
            <w:proofErr w:type="spellEnd"/>
          </w:p>
        </w:tc>
        <w:tc>
          <w:tcPr>
            <w:tcW w:w="413" w:type="pct"/>
            <w:tcBorders>
              <w:top w:val="nil"/>
              <w:left w:val="nil"/>
              <w:bottom w:val="single" w:sz="8" w:space="0" w:color="FFFFFF"/>
              <w:right w:val="single" w:sz="8" w:space="0" w:color="FFFFFF"/>
            </w:tcBorders>
            <w:shd w:val="clear" w:color="000000" w:fill="D9E2F3"/>
            <w:vAlign w:val="center"/>
            <w:hideMark/>
          </w:tcPr>
          <w:p w14:paraId="759D6900"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1-Jun</w:t>
            </w:r>
          </w:p>
        </w:tc>
        <w:tc>
          <w:tcPr>
            <w:tcW w:w="482" w:type="pct"/>
            <w:tcBorders>
              <w:top w:val="nil"/>
              <w:left w:val="nil"/>
              <w:bottom w:val="single" w:sz="8" w:space="0" w:color="FFFFFF"/>
              <w:right w:val="nil"/>
            </w:tcBorders>
            <w:shd w:val="clear" w:color="000000" w:fill="D9E2F3"/>
            <w:vAlign w:val="center"/>
            <w:hideMark/>
          </w:tcPr>
          <w:p w14:paraId="32D21F6F"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7-Jul</w:t>
            </w:r>
          </w:p>
        </w:tc>
        <w:tc>
          <w:tcPr>
            <w:tcW w:w="310" w:type="pct"/>
            <w:tcBorders>
              <w:top w:val="nil"/>
              <w:left w:val="nil"/>
              <w:bottom w:val="single" w:sz="8" w:space="0" w:color="FFFFFF"/>
              <w:right w:val="single" w:sz="8" w:space="0" w:color="FFFFFF"/>
            </w:tcBorders>
            <w:shd w:val="clear" w:color="000000" w:fill="D9E2F3"/>
            <w:vAlign w:val="center"/>
            <w:hideMark/>
          </w:tcPr>
          <w:p w14:paraId="420CB7AC"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13-Aug</w:t>
            </w:r>
          </w:p>
        </w:tc>
        <w:tc>
          <w:tcPr>
            <w:tcW w:w="307" w:type="pct"/>
            <w:tcBorders>
              <w:top w:val="nil"/>
              <w:left w:val="nil"/>
              <w:bottom w:val="single" w:sz="8" w:space="0" w:color="FFFFFF"/>
              <w:right w:val="single" w:sz="8" w:space="0" w:color="FFFFFF"/>
            </w:tcBorders>
            <w:shd w:val="clear" w:color="000000" w:fill="D9E2F3"/>
            <w:vAlign w:val="center"/>
            <w:hideMark/>
          </w:tcPr>
          <w:p w14:paraId="7CEF0CDC"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14-Sep</w:t>
            </w:r>
          </w:p>
        </w:tc>
        <w:tc>
          <w:tcPr>
            <w:tcW w:w="307" w:type="pct"/>
            <w:tcBorders>
              <w:top w:val="nil"/>
              <w:left w:val="nil"/>
              <w:bottom w:val="single" w:sz="8" w:space="0" w:color="FFFFFF"/>
              <w:right w:val="single" w:sz="8" w:space="0" w:color="FFFFFF"/>
            </w:tcBorders>
            <w:shd w:val="clear" w:color="000000" w:fill="D9E2F3"/>
            <w:vAlign w:val="center"/>
            <w:hideMark/>
          </w:tcPr>
          <w:p w14:paraId="79CD49C8"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14-Oct</w:t>
            </w:r>
          </w:p>
        </w:tc>
        <w:tc>
          <w:tcPr>
            <w:tcW w:w="486" w:type="pct"/>
            <w:tcBorders>
              <w:top w:val="nil"/>
              <w:left w:val="nil"/>
              <w:bottom w:val="single" w:sz="8" w:space="0" w:color="FFFFFF"/>
              <w:right w:val="single" w:sz="8" w:space="0" w:color="FFFFFF"/>
            </w:tcBorders>
            <w:shd w:val="clear" w:color="000000" w:fill="D9E2F3"/>
            <w:vAlign w:val="center"/>
            <w:hideMark/>
          </w:tcPr>
          <w:p w14:paraId="53947338" w14:textId="77777777" w:rsidR="00B445D5" w:rsidRPr="00B445D5" w:rsidRDefault="00B445D5" w:rsidP="00B445D5">
            <w:pPr>
              <w:spacing w:after="0" w:line="240" w:lineRule="auto"/>
              <w:jc w:val="center"/>
              <w:rPr>
                <w:rFonts w:ascii="Calibri" w:eastAsia="Times New Roman" w:hAnsi="Calibri" w:cs="Calibri"/>
                <w:color w:val="000000"/>
                <w:sz w:val="20"/>
                <w:szCs w:val="20"/>
              </w:rPr>
            </w:pPr>
            <w:r w:rsidRPr="00B445D5">
              <w:rPr>
                <w:rFonts w:ascii="Calibri" w:eastAsia="Times New Roman" w:hAnsi="Calibri" w:cs="Calibri"/>
                <w:color w:val="000000"/>
                <w:sz w:val="20"/>
                <w:szCs w:val="20"/>
              </w:rPr>
              <w:t>%</w:t>
            </w:r>
            <w:proofErr w:type="spellStart"/>
            <w:r w:rsidRPr="00B445D5">
              <w:rPr>
                <w:rFonts w:ascii="Calibri" w:eastAsia="Times New Roman" w:hAnsi="Calibri" w:cs="Calibri"/>
                <w:color w:val="000000"/>
                <w:sz w:val="20"/>
                <w:szCs w:val="20"/>
              </w:rPr>
              <w:t>Inc</w:t>
            </w:r>
            <w:proofErr w:type="spellEnd"/>
          </w:p>
        </w:tc>
      </w:tr>
      <w:tr w:rsidR="00B445D5" w:rsidRPr="00B445D5" w14:paraId="4D89AF12" w14:textId="77777777" w:rsidTr="00B445D5">
        <w:trPr>
          <w:trHeight w:val="300"/>
        </w:trPr>
        <w:tc>
          <w:tcPr>
            <w:tcW w:w="429" w:type="pct"/>
            <w:tcBorders>
              <w:top w:val="nil"/>
              <w:left w:val="single" w:sz="8" w:space="0" w:color="FFFFFF"/>
              <w:bottom w:val="single" w:sz="8" w:space="0" w:color="FFFFFF"/>
              <w:right w:val="single" w:sz="8" w:space="0" w:color="FFFFFF"/>
            </w:tcBorders>
            <w:shd w:val="clear" w:color="000000" w:fill="4472C4"/>
            <w:vAlign w:val="center"/>
            <w:hideMark/>
          </w:tcPr>
          <w:p w14:paraId="1E6EEE02" w14:textId="77777777" w:rsidR="00B445D5" w:rsidRPr="00B445D5" w:rsidRDefault="00B445D5" w:rsidP="00B445D5">
            <w:pPr>
              <w:spacing w:after="0" w:line="240" w:lineRule="auto"/>
              <w:rPr>
                <w:rFonts w:ascii="Calibri" w:eastAsia="Times New Roman" w:hAnsi="Calibri" w:cs="Calibri"/>
                <w:b/>
                <w:bCs/>
                <w:color w:val="FFFFFF"/>
                <w:sz w:val="18"/>
                <w:szCs w:val="18"/>
              </w:rPr>
            </w:pPr>
            <w:r w:rsidRPr="00B445D5">
              <w:rPr>
                <w:rFonts w:ascii="Calibri" w:eastAsia="Times New Roman" w:hAnsi="Calibri" w:cs="Calibri"/>
                <w:b/>
                <w:bCs/>
                <w:color w:val="FFFFFF"/>
                <w:sz w:val="18"/>
                <w:szCs w:val="18"/>
              </w:rPr>
              <w:t>Black</w:t>
            </w:r>
          </w:p>
        </w:tc>
        <w:tc>
          <w:tcPr>
            <w:tcW w:w="486" w:type="pct"/>
            <w:tcBorders>
              <w:top w:val="single" w:sz="8" w:space="0" w:color="FFFFFF"/>
              <w:left w:val="nil"/>
              <w:bottom w:val="single" w:sz="8" w:space="0" w:color="FFFFFF"/>
              <w:right w:val="single" w:sz="8" w:space="0" w:color="FFFFFF"/>
            </w:tcBorders>
            <w:shd w:val="clear" w:color="000000" w:fill="B4C6E7"/>
            <w:vAlign w:val="center"/>
            <w:hideMark/>
          </w:tcPr>
          <w:p w14:paraId="20AD7E00"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24</w:t>
            </w:r>
          </w:p>
        </w:tc>
        <w:tc>
          <w:tcPr>
            <w:tcW w:w="330" w:type="pct"/>
            <w:tcBorders>
              <w:top w:val="nil"/>
              <w:left w:val="nil"/>
              <w:bottom w:val="single" w:sz="8" w:space="0" w:color="FFFFFF"/>
              <w:right w:val="single" w:sz="8" w:space="0" w:color="FFFFFF"/>
            </w:tcBorders>
            <w:shd w:val="clear" w:color="000000" w:fill="B4C6E7"/>
            <w:vAlign w:val="center"/>
            <w:hideMark/>
          </w:tcPr>
          <w:p w14:paraId="3AC7789D"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32</w:t>
            </w:r>
          </w:p>
        </w:tc>
        <w:tc>
          <w:tcPr>
            <w:tcW w:w="410" w:type="pct"/>
            <w:tcBorders>
              <w:top w:val="nil"/>
              <w:left w:val="nil"/>
              <w:bottom w:val="single" w:sz="8" w:space="0" w:color="FFFFFF"/>
              <w:right w:val="nil"/>
            </w:tcBorders>
            <w:shd w:val="clear" w:color="000000" w:fill="B4C6E7"/>
            <w:vAlign w:val="center"/>
            <w:hideMark/>
          </w:tcPr>
          <w:p w14:paraId="116B007C"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41</w:t>
            </w:r>
          </w:p>
        </w:tc>
        <w:tc>
          <w:tcPr>
            <w:tcW w:w="297" w:type="pct"/>
            <w:tcBorders>
              <w:top w:val="nil"/>
              <w:left w:val="nil"/>
              <w:bottom w:val="single" w:sz="8" w:space="0" w:color="FFFFFF"/>
              <w:right w:val="single" w:sz="8" w:space="0" w:color="FFFFFF"/>
            </w:tcBorders>
            <w:shd w:val="clear" w:color="000000" w:fill="B4C6E7"/>
            <w:vAlign w:val="center"/>
            <w:hideMark/>
          </w:tcPr>
          <w:p w14:paraId="50FE3DF5"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51</w:t>
            </w:r>
          </w:p>
        </w:tc>
        <w:tc>
          <w:tcPr>
            <w:tcW w:w="332" w:type="pct"/>
            <w:tcBorders>
              <w:top w:val="nil"/>
              <w:left w:val="nil"/>
              <w:bottom w:val="single" w:sz="8" w:space="0" w:color="FFFFFF"/>
              <w:right w:val="single" w:sz="8" w:space="0" w:color="FFFFFF"/>
            </w:tcBorders>
            <w:shd w:val="clear" w:color="000000" w:fill="B4C6E7"/>
            <w:vAlign w:val="center"/>
            <w:hideMark/>
          </w:tcPr>
          <w:p w14:paraId="449BC096"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55</w:t>
            </w:r>
          </w:p>
        </w:tc>
        <w:tc>
          <w:tcPr>
            <w:tcW w:w="409" w:type="pct"/>
            <w:tcBorders>
              <w:top w:val="nil"/>
              <w:left w:val="nil"/>
              <w:bottom w:val="single" w:sz="8" w:space="0" w:color="FFFFFF"/>
              <w:right w:val="single" w:sz="8" w:space="0" w:color="FFFFFF"/>
            </w:tcBorders>
            <w:shd w:val="clear" w:color="000000" w:fill="B4C6E7"/>
            <w:vAlign w:val="center"/>
            <w:hideMark/>
          </w:tcPr>
          <w:p w14:paraId="26381981"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129.2%</w:t>
            </w:r>
          </w:p>
        </w:tc>
        <w:tc>
          <w:tcPr>
            <w:tcW w:w="413" w:type="pct"/>
            <w:tcBorders>
              <w:top w:val="nil"/>
              <w:left w:val="nil"/>
              <w:bottom w:val="single" w:sz="8" w:space="0" w:color="FFFFFF"/>
              <w:right w:val="single" w:sz="8" w:space="0" w:color="FFFFFF"/>
            </w:tcBorders>
            <w:shd w:val="clear" w:color="000000" w:fill="B4C6E7"/>
            <w:vAlign w:val="center"/>
            <w:hideMark/>
          </w:tcPr>
          <w:p w14:paraId="513729A0"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368</w:t>
            </w:r>
          </w:p>
        </w:tc>
        <w:tc>
          <w:tcPr>
            <w:tcW w:w="482" w:type="pct"/>
            <w:tcBorders>
              <w:top w:val="nil"/>
              <w:left w:val="nil"/>
              <w:bottom w:val="single" w:sz="8" w:space="0" w:color="FFFFFF"/>
              <w:right w:val="nil"/>
            </w:tcBorders>
            <w:shd w:val="clear" w:color="000000" w:fill="B4C6E7"/>
            <w:vAlign w:val="center"/>
            <w:hideMark/>
          </w:tcPr>
          <w:p w14:paraId="4C44CF11"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1,210</w:t>
            </w:r>
          </w:p>
        </w:tc>
        <w:tc>
          <w:tcPr>
            <w:tcW w:w="310" w:type="pct"/>
            <w:tcBorders>
              <w:top w:val="nil"/>
              <w:left w:val="nil"/>
              <w:bottom w:val="single" w:sz="8" w:space="0" w:color="FFFFFF"/>
              <w:right w:val="single" w:sz="8" w:space="0" w:color="FFFFFF"/>
            </w:tcBorders>
            <w:shd w:val="clear" w:color="000000" w:fill="B4C6E7"/>
            <w:vAlign w:val="center"/>
            <w:hideMark/>
          </w:tcPr>
          <w:p w14:paraId="06C8A741"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2,073</w:t>
            </w:r>
          </w:p>
        </w:tc>
        <w:tc>
          <w:tcPr>
            <w:tcW w:w="307" w:type="pct"/>
            <w:tcBorders>
              <w:top w:val="nil"/>
              <w:left w:val="nil"/>
              <w:bottom w:val="single" w:sz="8" w:space="0" w:color="FFFFFF"/>
              <w:right w:val="single" w:sz="8" w:space="0" w:color="FFFFFF"/>
            </w:tcBorders>
            <w:shd w:val="clear" w:color="000000" w:fill="B4C6E7"/>
            <w:vAlign w:val="center"/>
            <w:hideMark/>
          </w:tcPr>
          <w:p w14:paraId="5AC5278D"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2,354</w:t>
            </w:r>
          </w:p>
        </w:tc>
        <w:tc>
          <w:tcPr>
            <w:tcW w:w="307" w:type="pct"/>
            <w:tcBorders>
              <w:top w:val="nil"/>
              <w:left w:val="nil"/>
              <w:bottom w:val="single" w:sz="8" w:space="0" w:color="FFFFFF"/>
              <w:right w:val="single" w:sz="8" w:space="0" w:color="FFFFFF"/>
            </w:tcBorders>
            <w:shd w:val="clear" w:color="000000" w:fill="B4C6E7"/>
            <w:vAlign w:val="center"/>
            <w:hideMark/>
          </w:tcPr>
          <w:p w14:paraId="588B3C3D"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2,554</w:t>
            </w:r>
          </w:p>
        </w:tc>
        <w:tc>
          <w:tcPr>
            <w:tcW w:w="486" w:type="pct"/>
            <w:tcBorders>
              <w:top w:val="nil"/>
              <w:left w:val="nil"/>
              <w:bottom w:val="single" w:sz="8" w:space="0" w:color="FFFFFF"/>
              <w:right w:val="single" w:sz="8" w:space="0" w:color="FFFFFF"/>
            </w:tcBorders>
            <w:shd w:val="clear" w:color="000000" w:fill="B4C6E7"/>
            <w:vAlign w:val="center"/>
            <w:hideMark/>
          </w:tcPr>
          <w:p w14:paraId="7092DF34"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594.0%</w:t>
            </w:r>
          </w:p>
        </w:tc>
      </w:tr>
      <w:tr w:rsidR="00B445D5" w:rsidRPr="00B445D5" w14:paraId="4BEE4701" w14:textId="77777777" w:rsidTr="00B445D5">
        <w:trPr>
          <w:trHeight w:val="300"/>
        </w:trPr>
        <w:tc>
          <w:tcPr>
            <w:tcW w:w="429" w:type="pct"/>
            <w:tcBorders>
              <w:top w:val="nil"/>
              <w:left w:val="single" w:sz="8" w:space="0" w:color="FFFFFF"/>
              <w:bottom w:val="single" w:sz="8" w:space="0" w:color="FFFFFF"/>
              <w:right w:val="single" w:sz="8" w:space="0" w:color="FFFFFF"/>
            </w:tcBorders>
            <w:shd w:val="clear" w:color="000000" w:fill="4472C4"/>
            <w:vAlign w:val="center"/>
            <w:hideMark/>
          </w:tcPr>
          <w:p w14:paraId="360E3602" w14:textId="77777777" w:rsidR="00B445D5" w:rsidRPr="00B445D5" w:rsidRDefault="00B445D5" w:rsidP="00B445D5">
            <w:pPr>
              <w:spacing w:after="0" w:line="240" w:lineRule="auto"/>
              <w:rPr>
                <w:rFonts w:ascii="Calibri" w:eastAsia="Times New Roman" w:hAnsi="Calibri" w:cs="Calibri"/>
                <w:b/>
                <w:bCs/>
                <w:color w:val="FFFFFF"/>
                <w:sz w:val="18"/>
                <w:szCs w:val="18"/>
              </w:rPr>
            </w:pPr>
            <w:r w:rsidRPr="00B445D5">
              <w:rPr>
                <w:rFonts w:ascii="Calibri" w:eastAsia="Times New Roman" w:hAnsi="Calibri" w:cs="Calibri"/>
                <w:b/>
                <w:bCs/>
                <w:color w:val="FFFFFF"/>
                <w:sz w:val="18"/>
                <w:szCs w:val="18"/>
              </w:rPr>
              <w:t>Hispanic</w:t>
            </w:r>
          </w:p>
        </w:tc>
        <w:tc>
          <w:tcPr>
            <w:tcW w:w="486" w:type="pct"/>
            <w:tcBorders>
              <w:top w:val="single" w:sz="8" w:space="0" w:color="FFFFFF"/>
              <w:left w:val="nil"/>
              <w:bottom w:val="single" w:sz="8" w:space="0" w:color="FFFFFF"/>
              <w:right w:val="single" w:sz="8" w:space="0" w:color="FFFFFF"/>
            </w:tcBorders>
            <w:shd w:val="clear" w:color="000000" w:fill="D9E2F3"/>
            <w:vAlign w:val="center"/>
            <w:hideMark/>
          </w:tcPr>
          <w:p w14:paraId="5A3AB6DA"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0</w:t>
            </w:r>
          </w:p>
        </w:tc>
        <w:tc>
          <w:tcPr>
            <w:tcW w:w="330" w:type="pct"/>
            <w:tcBorders>
              <w:top w:val="nil"/>
              <w:left w:val="nil"/>
              <w:bottom w:val="single" w:sz="8" w:space="0" w:color="FFFFFF"/>
              <w:right w:val="single" w:sz="8" w:space="0" w:color="FFFFFF"/>
            </w:tcBorders>
            <w:shd w:val="clear" w:color="000000" w:fill="D9E2F3"/>
            <w:vAlign w:val="center"/>
            <w:hideMark/>
          </w:tcPr>
          <w:p w14:paraId="1985B804"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0</w:t>
            </w:r>
          </w:p>
        </w:tc>
        <w:tc>
          <w:tcPr>
            <w:tcW w:w="410" w:type="pct"/>
            <w:tcBorders>
              <w:top w:val="nil"/>
              <w:left w:val="nil"/>
              <w:bottom w:val="single" w:sz="8" w:space="0" w:color="FFFFFF"/>
              <w:right w:val="nil"/>
            </w:tcBorders>
            <w:shd w:val="clear" w:color="000000" w:fill="D9E2F3"/>
            <w:vAlign w:val="center"/>
            <w:hideMark/>
          </w:tcPr>
          <w:p w14:paraId="39F13DBB"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0</w:t>
            </w:r>
          </w:p>
        </w:tc>
        <w:tc>
          <w:tcPr>
            <w:tcW w:w="297" w:type="pct"/>
            <w:tcBorders>
              <w:top w:val="nil"/>
              <w:left w:val="nil"/>
              <w:bottom w:val="single" w:sz="8" w:space="0" w:color="FFFFFF"/>
              <w:right w:val="single" w:sz="8" w:space="0" w:color="FFFFFF"/>
            </w:tcBorders>
            <w:shd w:val="clear" w:color="000000" w:fill="D9E2F3"/>
            <w:vAlign w:val="center"/>
            <w:hideMark/>
          </w:tcPr>
          <w:p w14:paraId="76DA0553"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w:t>
            </w:r>
          </w:p>
        </w:tc>
        <w:tc>
          <w:tcPr>
            <w:tcW w:w="332" w:type="pct"/>
            <w:tcBorders>
              <w:top w:val="nil"/>
              <w:left w:val="nil"/>
              <w:bottom w:val="single" w:sz="8" w:space="0" w:color="FFFFFF"/>
              <w:right w:val="single" w:sz="8" w:space="0" w:color="FFFFFF"/>
            </w:tcBorders>
            <w:shd w:val="clear" w:color="000000" w:fill="D9E2F3"/>
            <w:vAlign w:val="center"/>
            <w:hideMark/>
          </w:tcPr>
          <w:p w14:paraId="250B2B8D"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w:t>
            </w:r>
          </w:p>
        </w:tc>
        <w:tc>
          <w:tcPr>
            <w:tcW w:w="409" w:type="pct"/>
            <w:tcBorders>
              <w:top w:val="nil"/>
              <w:left w:val="nil"/>
              <w:bottom w:val="single" w:sz="8" w:space="0" w:color="FFFFFF"/>
              <w:right w:val="single" w:sz="8" w:space="0" w:color="FFFFFF"/>
            </w:tcBorders>
            <w:shd w:val="clear" w:color="000000" w:fill="B4C6E7"/>
            <w:vAlign w:val="center"/>
            <w:hideMark/>
          </w:tcPr>
          <w:p w14:paraId="3892975D"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N/A</w:t>
            </w:r>
          </w:p>
        </w:tc>
        <w:tc>
          <w:tcPr>
            <w:tcW w:w="413" w:type="pct"/>
            <w:tcBorders>
              <w:top w:val="nil"/>
              <w:left w:val="nil"/>
              <w:bottom w:val="single" w:sz="8" w:space="0" w:color="FFFFFF"/>
              <w:right w:val="single" w:sz="8" w:space="0" w:color="FFFFFF"/>
            </w:tcBorders>
            <w:shd w:val="clear" w:color="000000" w:fill="D9E2F3"/>
            <w:vAlign w:val="center"/>
            <w:hideMark/>
          </w:tcPr>
          <w:p w14:paraId="6AC5AE23"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195</w:t>
            </w:r>
          </w:p>
        </w:tc>
        <w:tc>
          <w:tcPr>
            <w:tcW w:w="482" w:type="pct"/>
            <w:tcBorders>
              <w:top w:val="nil"/>
              <w:left w:val="nil"/>
              <w:bottom w:val="single" w:sz="8" w:space="0" w:color="FFFFFF"/>
              <w:right w:val="nil"/>
            </w:tcBorders>
            <w:shd w:val="clear" w:color="000000" w:fill="D9E2F3"/>
            <w:vAlign w:val="center"/>
            <w:hideMark/>
          </w:tcPr>
          <w:p w14:paraId="3CB66F5F"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243</w:t>
            </w:r>
          </w:p>
        </w:tc>
        <w:tc>
          <w:tcPr>
            <w:tcW w:w="310" w:type="pct"/>
            <w:tcBorders>
              <w:top w:val="nil"/>
              <w:left w:val="nil"/>
              <w:bottom w:val="single" w:sz="8" w:space="0" w:color="FFFFFF"/>
              <w:right w:val="single" w:sz="8" w:space="0" w:color="FFFFFF"/>
            </w:tcBorders>
            <w:shd w:val="clear" w:color="000000" w:fill="D9E2F3"/>
            <w:vAlign w:val="center"/>
            <w:hideMark/>
          </w:tcPr>
          <w:p w14:paraId="3DDB76B0"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266</w:t>
            </w:r>
          </w:p>
        </w:tc>
        <w:tc>
          <w:tcPr>
            <w:tcW w:w="307" w:type="pct"/>
            <w:tcBorders>
              <w:top w:val="nil"/>
              <w:left w:val="nil"/>
              <w:bottom w:val="single" w:sz="8" w:space="0" w:color="FFFFFF"/>
              <w:right w:val="single" w:sz="8" w:space="0" w:color="FFFFFF"/>
            </w:tcBorders>
            <w:shd w:val="clear" w:color="000000" w:fill="D9E2F3"/>
            <w:vAlign w:val="center"/>
            <w:hideMark/>
          </w:tcPr>
          <w:p w14:paraId="27651C59"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356</w:t>
            </w:r>
          </w:p>
        </w:tc>
        <w:tc>
          <w:tcPr>
            <w:tcW w:w="307" w:type="pct"/>
            <w:tcBorders>
              <w:top w:val="nil"/>
              <w:left w:val="nil"/>
              <w:bottom w:val="single" w:sz="8" w:space="0" w:color="FFFFFF"/>
              <w:right w:val="single" w:sz="8" w:space="0" w:color="FFFFFF"/>
            </w:tcBorders>
            <w:shd w:val="clear" w:color="000000" w:fill="D9E2F3"/>
            <w:vAlign w:val="center"/>
            <w:hideMark/>
          </w:tcPr>
          <w:p w14:paraId="6CFD5713"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355</w:t>
            </w:r>
          </w:p>
        </w:tc>
        <w:tc>
          <w:tcPr>
            <w:tcW w:w="486" w:type="pct"/>
            <w:tcBorders>
              <w:top w:val="nil"/>
              <w:left w:val="nil"/>
              <w:bottom w:val="single" w:sz="8" w:space="0" w:color="FFFFFF"/>
              <w:right w:val="single" w:sz="8" w:space="0" w:color="FFFFFF"/>
            </w:tcBorders>
            <w:shd w:val="clear" w:color="000000" w:fill="B4C6E7"/>
            <w:vAlign w:val="center"/>
            <w:hideMark/>
          </w:tcPr>
          <w:p w14:paraId="4E025E73"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82.1%</w:t>
            </w:r>
          </w:p>
        </w:tc>
      </w:tr>
      <w:tr w:rsidR="00B445D5" w:rsidRPr="00B445D5" w14:paraId="489F1347" w14:textId="77777777" w:rsidTr="00B445D5">
        <w:trPr>
          <w:trHeight w:val="300"/>
        </w:trPr>
        <w:tc>
          <w:tcPr>
            <w:tcW w:w="429" w:type="pct"/>
            <w:tcBorders>
              <w:top w:val="nil"/>
              <w:left w:val="single" w:sz="8" w:space="0" w:color="FFFFFF"/>
              <w:bottom w:val="single" w:sz="8" w:space="0" w:color="FFFFFF"/>
              <w:right w:val="single" w:sz="8" w:space="0" w:color="FFFFFF"/>
            </w:tcBorders>
            <w:shd w:val="clear" w:color="000000" w:fill="4472C4"/>
            <w:vAlign w:val="center"/>
            <w:hideMark/>
          </w:tcPr>
          <w:p w14:paraId="0F26DA6B" w14:textId="77777777" w:rsidR="00B445D5" w:rsidRPr="00B445D5" w:rsidRDefault="00B445D5" w:rsidP="00B445D5">
            <w:pPr>
              <w:spacing w:after="0" w:line="240" w:lineRule="auto"/>
              <w:rPr>
                <w:rFonts w:ascii="Calibri" w:eastAsia="Times New Roman" w:hAnsi="Calibri" w:cs="Calibri"/>
                <w:b/>
                <w:bCs/>
                <w:color w:val="FFFFFF"/>
                <w:sz w:val="18"/>
                <w:szCs w:val="18"/>
              </w:rPr>
            </w:pPr>
            <w:r w:rsidRPr="00B445D5">
              <w:rPr>
                <w:rFonts w:ascii="Calibri" w:eastAsia="Times New Roman" w:hAnsi="Calibri" w:cs="Calibri"/>
                <w:b/>
                <w:bCs/>
                <w:color w:val="FFFFFF"/>
                <w:sz w:val="18"/>
                <w:szCs w:val="18"/>
              </w:rPr>
              <w:t>White</w:t>
            </w:r>
          </w:p>
        </w:tc>
        <w:tc>
          <w:tcPr>
            <w:tcW w:w="486" w:type="pct"/>
            <w:tcBorders>
              <w:top w:val="single" w:sz="8" w:space="0" w:color="FFFFFF"/>
              <w:left w:val="nil"/>
              <w:bottom w:val="single" w:sz="8" w:space="0" w:color="FFFFFF"/>
              <w:right w:val="single" w:sz="8" w:space="0" w:color="FFFFFF"/>
            </w:tcBorders>
            <w:shd w:val="clear" w:color="000000" w:fill="B4C6E7"/>
            <w:vAlign w:val="center"/>
            <w:hideMark/>
          </w:tcPr>
          <w:p w14:paraId="6095E14F"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20</w:t>
            </w:r>
          </w:p>
        </w:tc>
        <w:tc>
          <w:tcPr>
            <w:tcW w:w="330" w:type="pct"/>
            <w:tcBorders>
              <w:top w:val="nil"/>
              <w:left w:val="nil"/>
              <w:bottom w:val="single" w:sz="8" w:space="0" w:color="FFFFFF"/>
              <w:right w:val="single" w:sz="8" w:space="0" w:color="FFFFFF"/>
            </w:tcBorders>
            <w:shd w:val="clear" w:color="000000" w:fill="B4C6E7"/>
            <w:vAlign w:val="center"/>
            <w:hideMark/>
          </w:tcPr>
          <w:p w14:paraId="70F17481"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24</w:t>
            </w:r>
          </w:p>
        </w:tc>
        <w:tc>
          <w:tcPr>
            <w:tcW w:w="410" w:type="pct"/>
            <w:tcBorders>
              <w:top w:val="nil"/>
              <w:left w:val="nil"/>
              <w:bottom w:val="single" w:sz="8" w:space="0" w:color="FFFFFF"/>
              <w:right w:val="nil"/>
            </w:tcBorders>
            <w:shd w:val="clear" w:color="000000" w:fill="B4C6E7"/>
            <w:vAlign w:val="center"/>
            <w:hideMark/>
          </w:tcPr>
          <w:p w14:paraId="7A0F6CC6"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33</w:t>
            </w:r>
          </w:p>
        </w:tc>
        <w:tc>
          <w:tcPr>
            <w:tcW w:w="297" w:type="pct"/>
            <w:tcBorders>
              <w:top w:val="nil"/>
              <w:left w:val="nil"/>
              <w:bottom w:val="single" w:sz="8" w:space="0" w:color="FFFFFF"/>
              <w:right w:val="single" w:sz="8" w:space="0" w:color="FFFFFF"/>
            </w:tcBorders>
            <w:shd w:val="clear" w:color="000000" w:fill="B4C6E7"/>
            <w:vAlign w:val="center"/>
            <w:hideMark/>
          </w:tcPr>
          <w:p w14:paraId="3CCCE822"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38</w:t>
            </w:r>
          </w:p>
        </w:tc>
        <w:tc>
          <w:tcPr>
            <w:tcW w:w="332" w:type="pct"/>
            <w:tcBorders>
              <w:top w:val="nil"/>
              <w:left w:val="nil"/>
              <w:bottom w:val="single" w:sz="8" w:space="0" w:color="FFFFFF"/>
              <w:right w:val="single" w:sz="8" w:space="0" w:color="FFFFFF"/>
            </w:tcBorders>
            <w:shd w:val="clear" w:color="000000" w:fill="B4C6E7"/>
            <w:vAlign w:val="center"/>
            <w:hideMark/>
          </w:tcPr>
          <w:p w14:paraId="1BF2321A"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42</w:t>
            </w:r>
          </w:p>
        </w:tc>
        <w:tc>
          <w:tcPr>
            <w:tcW w:w="409" w:type="pct"/>
            <w:tcBorders>
              <w:top w:val="nil"/>
              <w:left w:val="nil"/>
              <w:bottom w:val="single" w:sz="8" w:space="0" w:color="FFFFFF"/>
              <w:right w:val="single" w:sz="8" w:space="0" w:color="FFFFFF"/>
            </w:tcBorders>
            <w:shd w:val="clear" w:color="000000" w:fill="B4C6E7"/>
            <w:vAlign w:val="center"/>
            <w:hideMark/>
          </w:tcPr>
          <w:p w14:paraId="3578C971"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110.0%</w:t>
            </w:r>
          </w:p>
        </w:tc>
        <w:tc>
          <w:tcPr>
            <w:tcW w:w="413" w:type="pct"/>
            <w:tcBorders>
              <w:top w:val="nil"/>
              <w:left w:val="nil"/>
              <w:bottom w:val="single" w:sz="8" w:space="0" w:color="FFFFFF"/>
              <w:right w:val="single" w:sz="8" w:space="0" w:color="FFFFFF"/>
            </w:tcBorders>
            <w:shd w:val="clear" w:color="000000" w:fill="B4C6E7"/>
            <w:vAlign w:val="center"/>
            <w:hideMark/>
          </w:tcPr>
          <w:p w14:paraId="75D4BE27"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324</w:t>
            </w:r>
          </w:p>
        </w:tc>
        <w:tc>
          <w:tcPr>
            <w:tcW w:w="482" w:type="pct"/>
            <w:tcBorders>
              <w:top w:val="nil"/>
              <w:left w:val="nil"/>
              <w:bottom w:val="single" w:sz="8" w:space="0" w:color="FFFFFF"/>
              <w:right w:val="nil"/>
            </w:tcBorders>
            <w:shd w:val="clear" w:color="000000" w:fill="B4C6E7"/>
            <w:vAlign w:val="center"/>
            <w:hideMark/>
          </w:tcPr>
          <w:p w14:paraId="7D8FD0A8"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509</w:t>
            </w:r>
          </w:p>
        </w:tc>
        <w:tc>
          <w:tcPr>
            <w:tcW w:w="310" w:type="pct"/>
            <w:tcBorders>
              <w:top w:val="nil"/>
              <w:left w:val="nil"/>
              <w:bottom w:val="single" w:sz="8" w:space="0" w:color="FFFFFF"/>
              <w:right w:val="single" w:sz="8" w:space="0" w:color="FFFFFF"/>
            </w:tcBorders>
            <w:shd w:val="clear" w:color="000000" w:fill="B4C6E7"/>
            <w:vAlign w:val="center"/>
            <w:hideMark/>
          </w:tcPr>
          <w:p w14:paraId="1144ABDA"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1008</w:t>
            </w:r>
          </w:p>
        </w:tc>
        <w:tc>
          <w:tcPr>
            <w:tcW w:w="307" w:type="pct"/>
            <w:tcBorders>
              <w:top w:val="nil"/>
              <w:left w:val="nil"/>
              <w:bottom w:val="single" w:sz="8" w:space="0" w:color="FFFFFF"/>
              <w:right w:val="single" w:sz="8" w:space="0" w:color="FFFFFF"/>
            </w:tcBorders>
            <w:shd w:val="clear" w:color="000000" w:fill="B4C6E7"/>
            <w:vAlign w:val="center"/>
            <w:hideMark/>
          </w:tcPr>
          <w:p w14:paraId="1281968D"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1665</w:t>
            </w:r>
          </w:p>
        </w:tc>
        <w:tc>
          <w:tcPr>
            <w:tcW w:w="307" w:type="pct"/>
            <w:tcBorders>
              <w:top w:val="nil"/>
              <w:left w:val="nil"/>
              <w:bottom w:val="single" w:sz="8" w:space="0" w:color="FFFFFF"/>
              <w:right w:val="single" w:sz="8" w:space="0" w:color="FFFFFF"/>
            </w:tcBorders>
            <w:shd w:val="clear" w:color="000000" w:fill="B4C6E7"/>
            <w:vAlign w:val="center"/>
            <w:hideMark/>
          </w:tcPr>
          <w:p w14:paraId="10795639"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2,338</w:t>
            </w:r>
          </w:p>
        </w:tc>
        <w:tc>
          <w:tcPr>
            <w:tcW w:w="486" w:type="pct"/>
            <w:tcBorders>
              <w:top w:val="nil"/>
              <w:left w:val="nil"/>
              <w:bottom w:val="single" w:sz="8" w:space="0" w:color="FFFFFF"/>
              <w:right w:val="single" w:sz="8" w:space="0" w:color="FFFFFF"/>
            </w:tcBorders>
            <w:shd w:val="clear" w:color="000000" w:fill="B4C6E7"/>
            <w:vAlign w:val="center"/>
            <w:hideMark/>
          </w:tcPr>
          <w:p w14:paraId="19ED88A0"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621.6%</w:t>
            </w:r>
          </w:p>
        </w:tc>
      </w:tr>
      <w:tr w:rsidR="00B445D5" w:rsidRPr="00B445D5" w14:paraId="79C9A84B" w14:textId="77777777" w:rsidTr="00B445D5">
        <w:trPr>
          <w:trHeight w:val="300"/>
        </w:trPr>
        <w:tc>
          <w:tcPr>
            <w:tcW w:w="429" w:type="pct"/>
            <w:tcBorders>
              <w:top w:val="nil"/>
              <w:left w:val="single" w:sz="8" w:space="0" w:color="FFFFFF"/>
              <w:bottom w:val="single" w:sz="8" w:space="0" w:color="FFFFFF"/>
              <w:right w:val="single" w:sz="8" w:space="0" w:color="FFFFFF"/>
            </w:tcBorders>
            <w:shd w:val="clear" w:color="000000" w:fill="4472C4"/>
            <w:vAlign w:val="center"/>
            <w:hideMark/>
          </w:tcPr>
          <w:p w14:paraId="19B36AA1" w14:textId="77777777" w:rsidR="00B445D5" w:rsidRPr="00B445D5" w:rsidRDefault="00B445D5" w:rsidP="00B445D5">
            <w:pPr>
              <w:spacing w:after="0" w:line="240" w:lineRule="auto"/>
              <w:rPr>
                <w:rFonts w:ascii="Calibri" w:eastAsia="Times New Roman" w:hAnsi="Calibri" w:cs="Calibri"/>
                <w:b/>
                <w:bCs/>
                <w:color w:val="FFFFFF"/>
                <w:sz w:val="18"/>
                <w:szCs w:val="18"/>
              </w:rPr>
            </w:pPr>
            <w:r w:rsidRPr="00B445D5">
              <w:rPr>
                <w:rFonts w:ascii="Calibri" w:eastAsia="Times New Roman" w:hAnsi="Calibri" w:cs="Calibri"/>
                <w:b/>
                <w:bCs/>
                <w:color w:val="FFFFFF"/>
                <w:sz w:val="18"/>
                <w:szCs w:val="18"/>
              </w:rPr>
              <w:t>Other</w:t>
            </w:r>
          </w:p>
        </w:tc>
        <w:tc>
          <w:tcPr>
            <w:tcW w:w="486" w:type="pct"/>
            <w:tcBorders>
              <w:top w:val="single" w:sz="8" w:space="0" w:color="FFFFFF"/>
              <w:left w:val="nil"/>
              <w:bottom w:val="single" w:sz="8" w:space="0" w:color="FFFFFF"/>
              <w:right w:val="single" w:sz="8" w:space="0" w:color="FFFFFF"/>
            </w:tcBorders>
            <w:shd w:val="clear" w:color="000000" w:fill="D9E2F3"/>
            <w:vAlign w:val="center"/>
            <w:hideMark/>
          </w:tcPr>
          <w:p w14:paraId="130E622E"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w:t>
            </w:r>
          </w:p>
        </w:tc>
        <w:tc>
          <w:tcPr>
            <w:tcW w:w="330" w:type="pct"/>
            <w:tcBorders>
              <w:top w:val="nil"/>
              <w:left w:val="nil"/>
              <w:bottom w:val="single" w:sz="8" w:space="0" w:color="FFFFFF"/>
              <w:right w:val="single" w:sz="8" w:space="0" w:color="FFFFFF"/>
            </w:tcBorders>
            <w:shd w:val="clear" w:color="000000" w:fill="D9E2F3"/>
            <w:vAlign w:val="center"/>
            <w:hideMark/>
          </w:tcPr>
          <w:p w14:paraId="29D94153"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4</w:t>
            </w:r>
          </w:p>
        </w:tc>
        <w:tc>
          <w:tcPr>
            <w:tcW w:w="410" w:type="pct"/>
            <w:tcBorders>
              <w:top w:val="nil"/>
              <w:left w:val="nil"/>
              <w:bottom w:val="single" w:sz="8" w:space="0" w:color="FFFFFF"/>
              <w:right w:val="nil"/>
            </w:tcBorders>
            <w:shd w:val="clear" w:color="000000" w:fill="D9E2F3"/>
            <w:vAlign w:val="center"/>
            <w:hideMark/>
          </w:tcPr>
          <w:p w14:paraId="0EABD2FD"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5</w:t>
            </w:r>
          </w:p>
        </w:tc>
        <w:tc>
          <w:tcPr>
            <w:tcW w:w="297" w:type="pct"/>
            <w:tcBorders>
              <w:top w:val="nil"/>
              <w:left w:val="nil"/>
              <w:bottom w:val="single" w:sz="8" w:space="0" w:color="FFFFFF"/>
              <w:right w:val="single" w:sz="8" w:space="0" w:color="FFFFFF"/>
            </w:tcBorders>
            <w:shd w:val="clear" w:color="000000" w:fill="D9E2F3"/>
            <w:vAlign w:val="center"/>
            <w:hideMark/>
          </w:tcPr>
          <w:p w14:paraId="70C9F279"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4</w:t>
            </w:r>
          </w:p>
        </w:tc>
        <w:tc>
          <w:tcPr>
            <w:tcW w:w="332" w:type="pct"/>
            <w:tcBorders>
              <w:top w:val="nil"/>
              <w:left w:val="nil"/>
              <w:bottom w:val="single" w:sz="8" w:space="0" w:color="FFFFFF"/>
              <w:right w:val="single" w:sz="8" w:space="0" w:color="FFFFFF"/>
            </w:tcBorders>
            <w:shd w:val="clear" w:color="000000" w:fill="D9E2F3"/>
            <w:vAlign w:val="center"/>
            <w:hideMark/>
          </w:tcPr>
          <w:p w14:paraId="0E67FF80"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5</w:t>
            </w:r>
          </w:p>
        </w:tc>
        <w:tc>
          <w:tcPr>
            <w:tcW w:w="409" w:type="pct"/>
            <w:tcBorders>
              <w:top w:val="nil"/>
              <w:left w:val="nil"/>
              <w:bottom w:val="single" w:sz="8" w:space="0" w:color="FFFFFF"/>
              <w:right w:val="single" w:sz="8" w:space="0" w:color="FFFFFF"/>
            </w:tcBorders>
            <w:shd w:val="clear" w:color="000000" w:fill="B4C6E7"/>
            <w:vAlign w:val="center"/>
            <w:hideMark/>
          </w:tcPr>
          <w:p w14:paraId="46C18892"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66.7%</w:t>
            </w:r>
          </w:p>
        </w:tc>
        <w:tc>
          <w:tcPr>
            <w:tcW w:w="413" w:type="pct"/>
            <w:tcBorders>
              <w:top w:val="nil"/>
              <w:left w:val="nil"/>
              <w:bottom w:val="single" w:sz="8" w:space="0" w:color="FFFFFF"/>
              <w:right w:val="single" w:sz="8" w:space="0" w:color="FFFFFF"/>
            </w:tcBorders>
            <w:shd w:val="clear" w:color="000000" w:fill="D9E2F3"/>
            <w:vAlign w:val="center"/>
            <w:hideMark/>
          </w:tcPr>
          <w:p w14:paraId="09A1364A"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77</w:t>
            </w:r>
          </w:p>
        </w:tc>
        <w:tc>
          <w:tcPr>
            <w:tcW w:w="482" w:type="pct"/>
            <w:tcBorders>
              <w:top w:val="nil"/>
              <w:left w:val="nil"/>
              <w:bottom w:val="single" w:sz="8" w:space="0" w:color="FFFFFF"/>
              <w:right w:val="nil"/>
            </w:tcBorders>
            <w:shd w:val="clear" w:color="000000" w:fill="D9E2F3"/>
            <w:vAlign w:val="center"/>
            <w:hideMark/>
          </w:tcPr>
          <w:p w14:paraId="08AC61EB"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114</w:t>
            </w:r>
          </w:p>
        </w:tc>
        <w:tc>
          <w:tcPr>
            <w:tcW w:w="310" w:type="pct"/>
            <w:tcBorders>
              <w:top w:val="nil"/>
              <w:left w:val="nil"/>
              <w:bottom w:val="single" w:sz="8" w:space="0" w:color="FFFFFF"/>
              <w:right w:val="single" w:sz="8" w:space="0" w:color="FFFFFF"/>
            </w:tcBorders>
            <w:shd w:val="clear" w:color="000000" w:fill="D9E2F3"/>
            <w:vAlign w:val="center"/>
            <w:hideMark/>
          </w:tcPr>
          <w:p w14:paraId="58352E37"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212</w:t>
            </w:r>
          </w:p>
        </w:tc>
        <w:tc>
          <w:tcPr>
            <w:tcW w:w="307" w:type="pct"/>
            <w:tcBorders>
              <w:top w:val="nil"/>
              <w:left w:val="nil"/>
              <w:bottom w:val="single" w:sz="8" w:space="0" w:color="FFFFFF"/>
              <w:right w:val="single" w:sz="8" w:space="0" w:color="FFFFFF"/>
            </w:tcBorders>
            <w:shd w:val="clear" w:color="000000" w:fill="D9E2F3"/>
            <w:vAlign w:val="center"/>
            <w:hideMark/>
          </w:tcPr>
          <w:p w14:paraId="0B3AD684"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216</w:t>
            </w:r>
          </w:p>
        </w:tc>
        <w:tc>
          <w:tcPr>
            <w:tcW w:w="307" w:type="pct"/>
            <w:tcBorders>
              <w:top w:val="nil"/>
              <w:left w:val="nil"/>
              <w:bottom w:val="single" w:sz="8" w:space="0" w:color="FFFFFF"/>
              <w:right w:val="single" w:sz="8" w:space="0" w:color="FFFFFF"/>
            </w:tcBorders>
            <w:shd w:val="clear" w:color="000000" w:fill="D9E2F3"/>
            <w:vAlign w:val="center"/>
            <w:hideMark/>
          </w:tcPr>
          <w:p w14:paraId="6B4433F5"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284</w:t>
            </w:r>
          </w:p>
        </w:tc>
        <w:tc>
          <w:tcPr>
            <w:tcW w:w="486" w:type="pct"/>
            <w:tcBorders>
              <w:top w:val="nil"/>
              <w:left w:val="nil"/>
              <w:bottom w:val="single" w:sz="8" w:space="0" w:color="FFFFFF"/>
              <w:right w:val="single" w:sz="8" w:space="0" w:color="FFFFFF"/>
            </w:tcBorders>
            <w:shd w:val="clear" w:color="000000" w:fill="B4C6E7"/>
            <w:vAlign w:val="center"/>
            <w:hideMark/>
          </w:tcPr>
          <w:p w14:paraId="328A2C13"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268.8%</w:t>
            </w:r>
          </w:p>
        </w:tc>
      </w:tr>
      <w:tr w:rsidR="00B445D5" w:rsidRPr="00B445D5" w14:paraId="356F5BAF" w14:textId="77777777" w:rsidTr="00B445D5">
        <w:trPr>
          <w:trHeight w:val="300"/>
        </w:trPr>
        <w:tc>
          <w:tcPr>
            <w:tcW w:w="429" w:type="pct"/>
            <w:tcBorders>
              <w:top w:val="nil"/>
              <w:left w:val="single" w:sz="8" w:space="0" w:color="FFFFFF"/>
              <w:bottom w:val="single" w:sz="8" w:space="0" w:color="FFFFFF"/>
              <w:right w:val="single" w:sz="8" w:space="0" w:color="FFFFFF"/>
            </w:tcBorders>
            <w:shd w:val="clear" w:color="000000" w:fill="4472C4"/>
            <w:vAlign w:val="center"/>
            <w:hideMark/>
          </w:tcPr>
          <w:p w14:paraId="484A4BD1" w14:textId="77777777" w:rsidR="00B445D5" w:rsidRPr="00B445D5" w:rsidRDefault="00B445D5" w:rsidP="00B445D5">
            <w:pPr>
              <w:spacing w:after="0" w:line="240" w:lineRule="auto"/>
              <w:rPr>
                <w:rFonts w:ascii="Calibri" w:eastAsia="Times New Roman" w:hAnsi="Calibri" w:cs="Calibri"/>
                <w:b/>
                <w:bCs/>
                <w:color w:val="FFFFFF"/>
                <w:sz w:val="18"/>
                <w:szCs w:val="18"/>
              </w:rPr>
            </w:pPr>
            <w:r w:rsidRPr="00B445D5">
              <w:rPr>
                <w:rFonts w:ascii="Calibri" w:eastAsia="Times New Roman" w:hAnsi="Calibri" w:cs="Calibri"/>
                <w:b/>
                <w:bCs/>
                <w:color w:val="FFFFFF"/>
                <w:sz w:val="18"/>
                <w:szCs w:val="18"/>
              </w:rPr>
              <w:t>Unknown</w:t>
            </w:r>
          </w:p>
        </w:tc>
        <w:tc>
          <w:tcPr>
            <w:tcW w:w="486" w:type="pct"/>
            <w:tcBorders>
              <w:top w:val="single" w:sz="8" w:space="0" w:color="FFFFFF"/>
              <w:left w:val="nil"/>
              <w:bottom w:val="single" w:sz="8" w:space="0" w:color="FFFFFF"/>
              <w:right w:val="single" w:sz="8" w:space="0" w:color="FFFFFF"/>
            </w:tcBorders>
            <w:shd w:val="clear" w:color="000000" w:fill="B4C6E7"/>
            <w:vAlign w:val="center"/>
            <w:hideMark/>
          </w:tcPr>
          <w:p w14:paraId="654B7374"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5</w:t>
            </w:r>
          </w:p>
        </w:tc>
        <w:tc>
          <w:tcPr>
            <w:tcW w:w="330" w:type="pct"/>
            <w:tcBorders>
              <w:top w:val="nil"/>
              <w:left w:val="nil"/>
              <w:bottom w:val="single" w:sz="8" w:space="0" w:color="FFFFFF"/>
              <w:right w:val="single" w:sz="8" w:space="0" w:color="FFFFFF"/>
            </w:tcBorders>
            <w:shd w:val="clear" w:color="000000" w:fill="B4C6E7"/>
            <w:vAlign w:val="center"/>
            <w:hideMark/>
          </w:tcPr>
          <w:p w14:paraId="1A9923E0"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6</w:t>
            </w:r>
          </w:p>
        </w:tc>
        <w:tc>
          <w:tcPr>
            <w:tcW w:w="410" w:type="pct"/>
            <w:tcBorders>
              <w:top w:val="nil"/>
              <w:left w:val="nil"/>
              <w:bottom w:val="single" w:sz="8" w:space="0" w:color="FFFFFF"/>
              <w:right w:val="nil"/>
            </w:tcBorders>
            <w:shd w:val="clear" w:color="000000" w:fill="B4C6E7"/>
            <w:vAlign w:val="center"/>
            <w:hideMark/>
          </w:tcPr>
          <w:p w14:paraId="00021016"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5</w:t>
            </w:r>
          </w:p>
        </w:tc>
        <w:tc>
          <w:tcPr>
            <w:tcW w:w="297" w:type="pct"/>
            <w:tcBorders>
              <w:top w:val="nil"/>
              <w:left w:val="nil"/>
              <w:bottom w:val="single" w:sz="8" w:space="0" w:color="FFFFFF"/>
              <w:right w:val="single" w:sz="8" w:space="0" w:color="FFFFFF"/>
            </w:tcBorders>
            <w:shd w:val="clear" w:color="000000" w:fill="B4C6E7"/>
            <w:vAlign w:val="center"/>
            <w:hideMark/>
          </w:tcPr>
          <w:p w14:paraId="6A2FC8F2"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8</w:t>
            </w:r>
          </w:p>
        </w:tc>
        <w:tc>
          <w:tcPr>
            <w:tcW w:w="332" w:type="pct"/>
            <w:tcBorders>
              <w:top w:val="nil"/>
              <w:left w:val="nil"/>
              <w:bottom w:val="single" w:sz="8" w:space="0" w:color="FFFFFF"/>
              <w:right w:val="single" w:sz="8" w:space="0" w:color="FFFFFF"/>
            </w:tcBorders>
            <w:shd w:val="clear" w:color="000000" w:fill="B4C6E7"/>
            <w:vAlign w:val="center"/>
            <w:hideMark/>
          </w:tcPr>
          <w:p w14:paraId="463CEB85"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8</w:t>
            </w:r>
          </w:p>
        </w:tc>
        <w:tc>
          <w:tcPr>
            <w:tcW w:w="409" w:type="pct"/>
            <w:tcBorders>
              <w:top w:val="nil"/>
              <w:left w:val="nil"/>
              <w:bottom w:val="single" w:sz="8" w:space="0" w:color="FFFFFF"/>
              <w:right w:val="single" w:sz="8" w:space="0" w:color="FFFFFF"/>
            </w:tcBorders>
            <w:shd w:val="clear" w:color="000000" w:fill="B4C6E7"/>
            <w:vAlign w:val="center"/>
            <w:hideMark/>
          </w:tcPr>
          <w:p w14:paraId="2A241B78"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60.0%</w:t>
            </w:r>
          </w:p>
        </w:tc>
        <w:tc>
          <w:tcPr>
            <w:tcW w:w="413" w:type="pct"/>
            <w:tcBorders>
              <w:top w:val="nil"/>
              <w:left w:val="nil"/>
              <w:bottom w:val="single" w:sz="8" w:space="0" w:color="FFFFFF"/>
              <w:right w:val="single" w:sz="8" w:space="0" w:color="FFFFFF"/>
            </w:tcBorders>
            <w:shd w:val="clear" w:color="000000" w:fill="B4C6E7"/>
            <w:vAlign w:val="center"/>
            <w:hideMark/>
          </w:tcPr>
          <w:p w14:paraId="463E8F61"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165</w:t>
            </w:r>
          </w:p>
        </w:tc>
        <w:tc>
          <w:tcPr>
            <w:tcW w:w="482" w:type="pct"/>
            <w:tcBorders>
              <w:top w:val="nil"/>
              <w:left w:val="nil"/>
              <w:bottom w:val="single" w:sz="8" w:space="0" w:color="FFFFFF"/>
              <w:right w:val="nil"/>
            </w:tcBorders>
            <w:shd w:val="clear" w:color="000000" w:fill="B4C6E7"/>
            <w:vAlign w:val="center"/>
            <w:hideMark/>
          </w:tcPr>
          <w:p w14:paraId="690F4C56"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611</w:t>
            </w:r>
          </w:p>
        </w:tc>
        <w:tc>
          <w:tcPr>
            <w:tcW w:w="310" w:type="pct"/>
            <w:tcBorders>
              <w:top w:val="nil"/>
              <w:left w:val="nil"/>
              <w:bottom w:val="single" w:sz="8" w:space="0" w:color="FFFFFF"/>
              <w:right w:val="single" w:sz="8" w:space="0" w:color="FFFFFF"/>
            </w:tcBorders>
            <w:shd w:val="clear" w:color="000000" w:fill="B4C6E7"/>
            <w:vAlign w:val="center"/>
            <w:hideMark/>
          </w:tcPr>
          <w:p w14:paraId="0AF05FC1"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743</w:t>
            </w:r>
          </w:p>
        </w:tc>
        <w:tc>
          <w:tcPr>
            <w:tcW w:w="307" w:type="pct"/>
            <w:tcBorders>
              <w:top w:val="nil"/>
              <w:left w:val="nil"/>
              <w:bottom w:val="single" w:sz="8" w:space="0" w:color="FFFFFF"/>
              <w:right w:val="single" w:sz="8" w:space="0" w:color="FFFFFF"/>
            </w:tcBorders>
            <w:shd w:val="clear" w:color="000000" w:fill="B4C6E7"/>
            <w:vAlign w:val="center"/>
            <w:hideMark/>
          </w:tcPr>
          <w:p w14:paraId="429620CA"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704</w:t>
            </w:r>
          </w:p>
        </w:tc>
        <w:tc>
          <w:tcPr>
            <w:tcW w:w="307" w:type="pct"/>
            <w:tcBorders>
              <w:top w:val="nil"/>
              <w:left w:val="nil"/>
              <w:bottom w:val="single" w:sz="8" w:space="0" w:color="FFFFFF"/>
              <w:right w:val="single" w:sz="8" w:space="0" w:color="FFFFFF"/>
            </w:tcBorders>
            <w:shd w:val="clear" w:color="000000" w:fill="B4C6E7"/>
            <w:vAlign w:val="center"/>
            <w:hideMark/>
          </w:tcPr>
          <w:p w14:paraId="1474CFA2"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795</w:t>
            </w:r>
          </w:p>
        </w:tc>
        <w:tc>
          <w:tcPr>
            <w:tcW w:w="486" w:type="pct"/>
            <w:tcBorders>
              <w:top w:val="nil"/>
              <w:left w:val="nil"/>
              <w:bottom w:val="single" w:sz="8" w:space="0" w:color="FFFFFF"/>
              <w:right w:val="single" w:sz="8" w:space="0" w:color="FFFFFF"/>
            </w:tcBorders>
            <w:shd w:val="clear" w:color="000000" w:fill="B4C6E7"/>
            <w:vAlign w:val="center"/>
            <w:hideMark/>
          </w:tcPr>
          <w:p w14:paraId="604E430E" w14:textId="77777777" w:rsidR="00B445D5" w:rsidRPr="00B445D5" w:rsidRDefault="00B445D5" w:rsidP="00B445D5">
            <w:pPr>
              <w:spacing w:after="0" w:line="240" w:lineRule="auto"/>
              <w:jc w:val="right"/>
              <w:rPr>
                <w:rFonts w:ascii="Calibri" w:eastAsia="Times New Roman" w:hAnsi="Calibri" w:cs="Calibri"/>
                <w:color w:val="000000"/>
                <w:sz w:val="20"/>
                <w:szCs w:val="20"/>
              </w:rPr>
            </w:pPr>
            <w:r w:rsidRPr="00B445D5">
              <w:rPr>
                <w:rFonts w:ascii="Calibri" w:eastAsia="Times New Roman" w:hAnsi="Calibri" w:cs="Calibri"/>
                <w:color w:val="000000"/>
                <w:sz w:val="20"/>
                <w:szCs w:val="20"/>
              </w:rPr>
              <w:t>381.8%</w:t>
            </w:r>
          </w:p>
        </w:tc>
      </w:tr>
      <w:tr w:rsidR="00B445D5" w:rsidRPr="00B445D5" w14:paraId="4E8A21E1" w14:textId="77777777" w:rsidTr="00B445D5">
        <w:trPr>
          <w:trHeight w:val="300"/>
        </w:trPr>
        <w:tc>
          <w:tcPr>
            <w:tcW w:w="429" w:type="pct"/>
            <w:tcBorders>
              <w:top w:val="nil"/>
              <w:left w:val="single" w:sz="8" w:space="0" w:color="FFFFFF"/>
              <w:bottom w:val="single" w:sz="8" w:space="0" w:color="FFFFFF"/>
              <w:right w:val="single" w:sz="8" w:space="0" w:color="FFFFFF"/>
            </w:tcBorders>
            <w:shd w:val="clear" w:color="000000" w:fill="4472C4"/>
            <w:vAlign w:val="center"/>
            <w:hideMark/>
          </w:tcPr>
          <w:p w14:paraId="0C1D1C1F" w14:textId="77777777" w:rsidR="00B445D5" w:rsidRPr="00B445D5" w:rsidRDefault="00B445D5" w:rsidP="00B445D5">
            <w:pPr>
              <w:keepNext/>
              <w:spacing w:after="0" w:line="240" w:lineRule="auto"/>
              <w:rPr>
                <w:rFonts w:ascii="Calibri" w:eastAsia="Times New Roman" w:hAnsi="Calibri" w:cs="Calibri"/>
                <w:b/>
                <w:bCs/>
                <w:color w:val="FFFFFF"/>
                <w:sz w:val="18"/>
                <w:szCs w:val="18"/>
              </w:rPr>
            </w:pPr>
            <w:r w:rsidRPr="00B445D5">
              <w:rPr>
                <w:rFonts w:ascii="Calibri" w:eastAsia="Times New Roman" w:hAnsi="Calibri" w:cs="Calibri"/>
                <w:b/>
                <w:bCs/>
                <w:color w:val="FFFFFF"/>
                <w:sz w:val="18"/>
                <w:szCs w:val="18"/>
              </w:rPr>
              <w:t>Total</w:t>
            </w:r>
          </w:p>
        </w:tc>
        <w:tc>
          <w:tcPr>
            <w:tcW w:w="486" w:type="pct"/>
            <w:tcBorders>
              <w:top w:val="single" w:sz="8" w:space="0" w:color="FFFFFF"/>
              <w:left w:val="nil"/>
              <w:bottom w:val="single" w:sz="8" w:space="0" w:color="FFFFFF"/>
              <w:right w:val="single" w:sz="8" w:space="0" w:color="FFFFFF"/>
            </w:tcBorders>
            <w:shd w:val="clear" w:color="000000" w:fill="D9E2F3"/>
            <w:vAlign w:val="center"/>
            <w:hideMark/>
          </w:tcPr>
          <w:p w14:paraId="53CC990B"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52</w:t>
            </w:r>
          </w:p>
        </w:tc>
        <w:tc>
          <w:tcPr>
            <w:tcW w:w="330" w:type="pct"/>
            <w:tcBorders>
              <w:top w:val="nil"/>
              <w:left w:val="nil"/>
              <w:bottom w:val="single" w:sz="8" w:space="0" w:color="FFFFFF"/>
              <w:right w:val="single" w:sz="8" w:space="0" w:color="FFFFFF"/>
            </w:tcBorders>
            <w:shd w:val="clear" w:color="000000" w:fill="D9E2F3"/>
            <w:vAlign w:val="center"/>
            <w:hideMark/>
          </w:tcPr>
          <w:p w14:paraId="6B181548"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66</w:t>
            </w:r>
          </w:p>
        </w:tc>
        <w:tc>
          <w:tcPr>
            <w:tcW w:w="410" w:type="pct"/>
            <w:tcBorders>
              <w:top w:val="nil"/>
              <w:left w:val="nil"/>
              <w:bottom w:val="single" w:sz="8" w:space="0" w:color="FFFFFF"/>
              <w:right w:val="nil"/>
            </w:tcBorders>
            <w:shd w:val="clear" w:color="000000" w:fill="D9E2F3"/>
            <w:vAlign w:val="center"/>
            <w:hideMark/>
          </w:tcPr>
          <w:p w14:paraId="15F566A4"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84</w:t>
            </w:r>
          </w:p>
        </w:tc>
        <w:tc>
          <w:tcPr>
            <w:tcW w:w="297" w:type="pct"/>
            <w:tcBorders>
              <w:top w:val="nil"/>
              <w:left w:val="nil"/>
              <w:bottom w:val="single" w:sz="8" w:space="0" w:color="FFFFFF"/>
              <w:right w:val="single" w:sz="8" w:space="0" w:color="FFFFFF"/>
            </w:tcBorders>
            <w:shd w:val="clear" w:color="000000" w:fill="D9E2F3"/>
            <w:vAlign w:val="center"/>
            <w:hideMark/>
          </w:tcPr>
          <w:p w14:paraId="026F623F"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102</w:t>
            </w:r>
          </w:p>
        </w:tc>
        <w:tc>
          <w:tcPr>
            <w:tcW w:w="332" w:type="pct"/>
            <w:tcBorders>
              <w:top w:val="nil"/>
              <w:left w:val="nil"/>
              <w:bottom w:val="single" w:sz="8" w:space="0" w:color="FFFFFF"/>
              <w:right w:val="single" w:sz="8" w:space="0" w:color="FFFFFF"/>
            </w:tcBorders>
            <w:shd w:val="clear" w:color="000000" w:fill="D9E2F3"/>
            <w:vAlign w:val="center"/>
            <w:hideMark/>
          </w:tcPr>
          <w:p w14:paraId="0618B500"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111</w:t>
            </w:r>
          </w:p>
        </w:tc>
        <w:tc>
          <w:tcPr>
            <w:tcW w:w="409" w:type="pct"/>
            <w:tcBorders>
              <w:top w:val="nil"/>
              <w:left w:val="nil"/>
              <w:bottom w:val="single" w:sz="8" w:space="0" w:color="FFFFFF"/>
              <w:right w:val="single" w:sz="8" w:space="0" w:color="FFFFFF"/>
            </w:tcBorders>
            <w:shd w:val="clear" w:color="000000" w:fill="B4C6E7"/>
            <w:vAlign w:val="center"/>
            <w:hideMark/>
          </w:tcPr>
          <w:p w14:paraId="7CE4779F"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113.5%</w:t>
            </w:r>
          </w:p>
        </w:tc>
        <w:tc>
          <w:tcPr>
            <w:tcW w:w="413" w:type="pct"/>
            <w:tcBorders>
              <w:top w:val="nil"/>
              <w:left w:val="nil"/>
              <w:bottom w:val="single" w:sz="8" w:space="0" w:color="FFFFFF"/>
              <w:right w:val="single" w:sz="8" w:space="0" w:color="FFFFFF"/>
            </w:tcBorders>
            <w:shd w:val="clear" w:color="000000" w:fill="D9E2F3"/>
            <w:vAlign w:val="center"/>
            <w:hideMark/>
          </w:tcPr>
          <w:p w14:paraId="63CE0F8D"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1,129</w:t>
            </w:r>
          </w:p>
        </w:tc>
        <w:tc>
          <w:tcPr>
            <w:tcW w:w="482" w:type="pct"/>
            <w:tcBorders>
              <w:top w:val="nil"/>
              <w:left w:val="nil"/>
              <w:bottom w:val="single" w:sz="8" w:space="0" w:color="FFFFFF"/>
              <w:right w:val="nil"/>
            </w:tcBorders>
            <w:shd w:val="clear" w:color="000000" w:fill="D9E2F3"/>
            <w:vAlign w:val="center"/>
            <w:hideMark/>
          </w:tcPr>
          <w:p w14:paraId="73378E6E"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2,687</w:t>
            </w:r>
          </w:p>
        </w:tc>
        <w:tc>
          <w:tcPr>
            <w:tcW w:w="310" w:type="pct"/>
            <w:tcBorders>
              <w:top w:val="nil"/>
              <w:left w:val="nil"/>
              <w:bottom w:val="single" w:sz="8" w:space="0" w:color="FFFFFF"/>
              <w:right w:val="single" w:sz="8" w:space="0" w:color="FFFFFF"/>
            </w:tcBorders>
            <w:shd w:val="clear" w:color="000000" w:fill="D9E2F3"/>
            <w:vAlign w:val="center"/>
            <w:hideMark/>
          </w:tcPr>
          <w:p w14:paraId="355FF59E"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4,302</w:t>
            </w:r>
          </w:p>
        </w:tc>
        <w:tc>
          <w:tcPr>
            <w:tcW w:w="307" w:type="pct"/>
            <w:tcBorders>
              <w:top w:val="nil"/>
              <w:left w:val="nil"/>
              <w:bottom w:val="single" w:sz="8" w:space="0" w:color="FFFFFF"/>
              <w:right w:val="single" w:sz="8" w:space="0" w:color="FFFFFF"/>
            </w:tcBorders>
            <w:shd w:val="clear" w:color="000000" w:fill="D9E2F3"/>
            <w:vAlign w:val="center"/>
            <w:hideMark/>
          </w:tcPr>
          <w:p w14:paraId="3D5E785A"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5,295</w:t>
            </w:r>
          </w:p>
        </w:tc>
        <w:tc>
          <w:tcPr>
            <w:tcW w:w="307" w:type="pct"/>
            <w:tcBorders>
              <w:top w:val="nil"/>
              <w:left w:val="nil"/>
              <w:bottom w:val="single" w:sz="8" w:space="0" w:color="FFFFFF"/>
              <w:right w:val="single" w:sz="8" w:space="0" w:color="FFFFFF"/>
            </w:tcBorders>
            <w:shd w:val="clear" w:color="000000" w:fill="D9E2F3"/>
            <w:vAlign w:val="center"/>
            <w:hideMark/>
          </w:tcPr>
          <w:p w14:paraId="6C3BF93F"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6,326</w:t>
            </w:r>
          </w:p>
        </w:tc>
        <w:tc>
          <w:tcPr>
            <w:tcW w:w="486" w:type="pct"/>
            <w:tcBorders>
              <w:top w:val="nil"/>
              <w:left w:val="nil"/>
              <w:bottom w:val="single" w:sz="8" w:space="0" w:color="FFFFFF"/>
              <w:right w:val="single" w:sz="8" w:space="0" w:color="FFFFFF"/>
            </w:tcBorders>
            <w:shd w:val="clear" w:color="000000" w:fill="B4C6E7"/>
            <w:vAlign w:val="center"/>
            <w:hideMark/>
          </w:tcPr>
          <w:p w14:paraId="53D5DCF2" w14:textId="77777777" w:rsidR="00B445D5" w:rsidRPr="00B445D5" w:rsidRDefault="00B445D5" w:rsidP="00B445D5">
            <w:pPr>
              <w:keepNext/>
              <w:spacing w:after="0" w:line="240" w:lineRule="auto"/>
              <w:jc w:val="right"/>
              <w:rPr>
                <w:rFonts w:ascii="Calibri" w:eastAsia="Times New Roman" w:hAnsi="Calibri" w:cs="Calibri"/>
                <w:b/>
                <w:bCs/>
                <w:color w:val="000000"/>
                <w:sz w:val="20"/>
                <w:szCs w:val="20"/>
              </w:rPr>
            </w:pPr>
            <w:r w:rsidRPr="00B445D5">
              <w:rPr>
                <w:rFonts w:ascii="Calibri" w:eastAsia="Times New Roman" w:hAnsi="Calibri" w:cs="Calibri"/>
                <w:b/>
                <w:bCs/>
                <w:color w:val="000000"/>
                <w:sz w:val="20"/>
                <w:szCs w:val="20"/>
              </w:rPr>
              <w:t>460.3%</w:t>
            </w:r>
          </w:p>
        </w:tc>
      </w:tr>
    </w:tbl>
    <w:p w14:paraId="4FAED474" w14:textId="1B9FED72" w:rsidR="0096706C" w:rsidRDefault="0096706C" w:rsidP="0096706C">
      <w:pPr>
        <w:jc w:val="right"/>
        <w:rPr>
          <w:i/>
          <w:iCs/>
        </w:rPr>
      </w:pPr>
      <w:r w:rsidRPr="00AE6524">
        <w:rPr>
          <w:b/>
          <w:bCs/>
          <w:i/>
          <w:iCs/>
        </w:rPr>
        <w:t>Source:</w:t>
      </w:r>
      <w:r w:rsidRPr="00AE6524">
        <w:rPr>
          <w:i/>
          <w:iCs/>
        </w:rPr>
        <w:t xml:space="preserve"> Cincinnati Health Department, June 1, July 7</w:t>
      </w:r>
      <w:r w:rsidR="009E20C2">
        <w:rPr>
          <w:i/>
          <w:iCs/>
        </w:rPr>
        <w:t xml:space="preserve">, August </w:t>
      </w:r>
      <w:r w:rsidR="00291BB2">
        <w:rPr>
          <w:i/>
          <w:iCs/>
        </w:rPr>
        <w:t>13</w:t>
      </w:r>
      <w:r w:rsidR="00AD640A">
        <w:rPr>
          <w:i/>
          <w:iCs/>
        </w:rPr>
        <w:t>, September 14</w:t>
      </w:r>
      <w:r w:rsidR="00B02A0E">
        <w:rPr>
          <w:i/>
          <w:iCs/>
        </w:rPr>
        <w:t>,16</w:t>
      </w:r>
      <w:r w:rsidR="00052AE7">
        <w:rPr>
          <w:i/>
          <w:iCs/>
        </w:rPr>
        <w:t>, October 14</w:t>
      </w:r>
    </w:p>
    <w:p w14:paraId="67C6435A" w14:textId="5C13C8B6" w:rsidR="00D117AE" w:rsidRPr="004C1D8F" w:rsidRDefault="004C1D8F" w:rsidP="004C1D8F">
      <w:r w:rsidRPr="004C1D8F">
        <w:t>The disparity narrowed slightly.  The racial disparity in the number of confirmed cases continued in both raw numbers (</w:t>
      </w:r>
      <w:r w:rsidRPr="004C1D8F">
        <w:rPr>
          <w:b/>
          <w:bCs/>
        </w:rPr>
        <w:t>Table 1</w:t>
      </w:r>
      <w:r w:rsidRPr="004C1D8F">
        <w:t>) and in percentages (</w:t>
      </w:r>
      <w:r w:rsidRPr="004C1D8F">
        <w:rPr>
          <w:b/>
          <w:bCs/>
        </w:rPr>
        <w:t>Table 2</w:t>
      </w:r>
      <w:r w:rsidR="00B57676">
        <w:t>)</w:t>
      </w:r>
      <w:r w:rsidR="00E177D5">
        <w:t xml:space="preserve"> but shrank considerably in September and October reports</w:t>
      </w:r>
      <w:r w:rsidR="00B57676">
        <w:t xml:space="preserve">.  Only </w:t>
      </w:r>
      <w:r w:rsidR="00E177D5">
        <w:t>37.0</w:t>
      </w:r>
      <w:r w:rsidRPr="004C1D8F">
        <w:t xml:space="preserve">% of confirmed cases were white compared to </w:t>
      </w:r>
      <w:r w:rsidR="00E177D5">
        <w:t>40.4</w:t>
      </w:r>
      <w:r w:rsidRPr="004C1D8F">
        <w:t xml:space="preserve">% which are black.  The percentage of race unknown cases dropped from </w:t>
      </w:r>
      <w:r w:rsidR="00B57676">
        <w:t>14.6</w:t>
      </w:r>
      <w:r w:rsidRPr="004C1D8F">
        <w:t xml:space="preserve">% to </w:t>
      </w:r>
      <w:r w:rsidR="00B445D5">
        <w:t>12.6</w:t>
      </w:r>
      <w:r w:rsidRPr="004C1D8F">
        <w:t>%</w:t>
      </w:r>
      <w:r w:rsidR="00B57676">
        <w:t xml:space="preserve"> from June to </w:t>
      </w:r>
      <w:r w:rsidR="00B445D5">
        <w:t>October</w:t>
      </w:r>
      <w:r w:rsidRPr="004C1D8F">
        <w:t xml:space="preserve">.  There is still a problem with recording the race and ethnicity of </w:t>
      </w:r>
      <w:proofErr w:type="spellStart"/>
      <w:r w:rsidRPr="004C1D8F">
        <w:t>Covid</w:t>
      </w:r>
      <w:proofErr w:type="spellEnd"/>
      <w:r w:rsidRPr="004C1D8F">
        <w:t xml:space="preserve"> cases.</w:t>
      </w:r>
    </w:p>
    <w:p w14:paraId="57831CFC" w14:textId="77777777" w:rsidR="00F36FCB" w:rsidRDefault="00F36FCB" w:rsidP="00095377">
      <w:pPr>
        <w:jc w:val="right"/>
        <w:rPr>
          <w:b/>
          <w:bCs/>
          <w:i/>
          <w:iCs/>
        </w:rPr>
      </w:pPr>
    </w:p>
    <w:tbl>
      <w:tblPr>
        <w:tblStyle w:val="GridTable5Dark-Accent5"/>
        <w:tblW w:w="0" w:type="auto"/>
        <w:tblLook w:val="04A0" w:firstRow="1" w:lastRow="0" w:firstColumn="1" w:lastColumn="0" w:noHBand="0" w:noVBand="1"/>
      </w:tblPr>
      <w:tblGrid>
        <w:gridCol w:w="1102"/>
        <w:gridCol w:w="1150"/>
        <w:gridCol w:w="609"/>
        <w:gridCol w:w="607"/>
        <w:gridCol w:w="738"/>
        <w:gridCol w:w="721"/>
        <w:gridCol w:w="764"/>
        <w:gridCol w:w="609"/>
        <w:gridCol w:w="607"/>
        <w:gridCol w:w="738"/>
        <w:gridCol w:w="721"/>
        <w:gridCol w:w="764"/>
      </w:tblGrid>
      <w:tr w:rsidR="00640544" w:rsidRPr="00F36FCB" w14:paraId="74EBA498" w14:textId="77777777" w:rsidTr="006405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CA5871A" w14:textId="77777777" w:rsidR="00F36FCB" w:rsidRPr="00F36FCB" w:rsidRDefault="00F36FCB" w:rsidP="008C3BA5">
            <w:pPr>
              <w:keepNext/>
              <w:jc w:val="center"/>
              <w:rPr>
                <w:rFonts w:ascii="Calibri" w:eastAsia="Times New Roman" w:hAnsi="Calibri" w:cs="Calibri"/>
                <w:color w:val="FFFFFF"/>
              </w:rPr>
            </w:pPr>
            <w:r w:rsidRPr="00F36FCB">
              <w:rPr>
                <w:rFonts w:ascii="Calibri" w:eastAsia="Times New Roman" w:hAnsi="Calibri" w:cs="Calibri"/>
                <w:color w:val="FFFFFF"/>
              </w:rPr>
              <w:lastRenderedPageBreak/>
              <w:t> </w:t>
            </w:r>
          </w:p>
        </w:tc>
        <w:tc>
          <w:tcPr>
            <w:tcW w:w="0" w:type="auto"/>
            <w:gridSpan w:val="10"/>
            <w:hideMark/>
          </w:tcPr>
          <w:p w14:paraId="353CCD6F" w14:textId="77777777" w:rsidR="00F36FCB" w:rsidRPr="00F36FCB" w:rsidRDefault="00F36FCB" w:rsidP="008C3BA5">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36FCB">
              <w:rPr>
                <w:rFonts w:ascii="Calibri" w:eastAsia="Times New Roman" w:hAnsi="Calibri" w:cs="Calibri"/>
                <w:color w:val="FFFFFF"/>
              </w:rPr>
              <w:t>Table 2: Deaths and Confirmed Cases by Population</w:t>
            </w:r>
          </w:p>
        </w:tc>
        <w:tc>
          <w:tcPr>
            <w:tcW w:w="0" w:type="auto"/>
            <w:hideMark/>
          </w:tcPr>
          <w:p w14:paraId="78A1DEC2" w14:textId="77777777" w:rsidR="00F36FCB" w:rsidRPr="00F36FCB" w:rsidRDefault="00F36FCB" w:rsidP="008C3BA5">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36FCB">
              <w:rPr>
                <w:rFonts w:ascii="Calibri" w:eastAsia="Times New Roman" w:hAnsi="Calibri" w:cs="Calibri"/>
                <w:color w:val="FFFFFF"/>
              </w:rPr>
              <w:t> </w:t>
            </w:r>
          </w:p>
        </w:tc>
      </w:tr>
      <w:tr w:rsidR="00640544" w:rsidRPr="00F36FCB" w14:paraId="1356015A" w14:textId="77777777" w:rsidTr="0064054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hideMark/>
          </w:tcPr>
          <w:p w14:paraId="0F165F9F" w14:textId="77777777" w:rsidR="00640544" w:rsidRPr="00F36FCB" w:rsidRDefault="00640544" w:rsidP="008C3BA5">
            <w:pPr>
              <w:keepNext/>
              <w:rPr>
                <w:rFonts w:ascii="Calibri" w:eastAsia="Times New Roman" w:hAnsi="Calibri" w:cs="Calibri"/>
                <w:color w:val="FFFFFF"/>
              </w:rPr>
            </w:pPr>
            <w:r w:rsidRPr="00F36FCB">
              <w:rPr>
                <w:rFonts w:ascii="Calibri" w:eastAsia="Times New Roman" w:hAnsi="Calibri" w:cs="Calibri"/>
                <w:color w:val="FFFFFF"/>
              </w:rPr>
              <w:t> </w:t>
            </w:r>
          </w:p>
        </w:tc>
        <w:tc>
          <w:tcPr>
            <w:tcW w:w="0" w:type="auto"/>
            <w:hideMark/>
          </w:tcPr>
          <w:p w14:paraId="685F08BD" w14:textId="77777777" w:rsidR="00640544" w:rsidRPr="00F36FCB" w:rsidRDefault="00640544" w:rsidP="008C3BA5">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sz w:val="20"/>
              </w:rPr>
              <w:t>Expected %</w:t>
            </w:r>
          </w:p>
        </w:tc>
        <w:tc>
          <w:tcPr>
            <w:tcW w:w="0" w:type="auto"/>
            <w:gridSpan w:val="5"/>
            <w:hideMark/>
          </w:tcPr>
          <w:p w14:paraId="0615604B" w14:textId="77777777" w:rsidR="00640544" w:rsidRPr="00F36FCB" w:rsidRDefault="00640544" w:rsidP="008C3BA5">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Deaths (Actual %)</w:t>
            </w:r>
          </w:p>
          <w:p w14:paraId="2A0559F5" w14:textId="78F91130" w:rsidR="00640544" w:rsidRPr="00F36FCB" w:rsidRDefault="00640544" w:rsidP="008C3BA5">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 </w:t>
            </w:r>
          </w:p>
        </w:tc>
        <w:tc>
          <w:tcPr>
            <w:tcW w:w="0" w:type="auto"/>
            <w:gridSpan w:val="5"/>
            <w:hideMark/>
          </w:tcPr>
          <w:p w14:paraId="532E2FD4" w14:textId="77777777" w:rsidR="00640544" w:rsidRPr="00F36FCB" w:rsidRDefault="00640544" w:rsidP="008C3BA5">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Cases (Actual %)</w:t>
            </w:r>
          </w:p>
          <w:p w14:paraId="2C99621F" w14:textId="680CEEB3" w:rsidR="00640544" w:rsidRPr="00F36FCB" w:rsidRDefault="00640544" w:rsidP="008C3BA5">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 </w:t>
            </w:r>
          </w:p>
        </w:tc>
      </w:tr>
      <w:tr w:rsidR="00640544" w:rsidRPr="00F36FCB" w14:paraId="42D2957F" w14:textId="77777777" w:rsidTr="0064054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57E951D" w14:textId="77777777" w:rsidR="00F36FCB" w:rsidRPr="00F36FCB" w:rsidRDefault="00F36FCB" w:rsidP="008C3BA5">
            <w:pPr>
              <w:keepNext/>
              <w:rPr>
                <w:rFonts w:ascii="Calibri" w:eastAsia="Times New Roman" w:hAnsi="Calibri" w:cs="Calibri"/>
                <w:color w:val="FFFFFF"/>
              </w:rPr>
            </w:pPr>
            <w:r w:rsidRPr="00F36FCB">
              <w:rPr>
                <w:rFonts w:ascii="Calibri" w:eastAsia="Times New Roman" w:hAnsi="Calibri" w:cs="Calibri"/>
                <w:color w:val="FFFFFF"/>
              </w:rPr>
              <w:t>Race</w:t>
            </w:r>
          </w:p>
        </w:tc>
        <w:tc>
          <w:tcPr>
            <w:tcW w:w="0" w:type="auto"/>
            <w:hideMark/>
          </w:tcPr>
          <w:p w14:paraId="442B54F3" w14:textId="77777777" w:rsidR="00F36FCB" w:rsidRPr="00F36FCB" w:rsidRDefault="00F36FCB" w:rsidP="008C3BA5">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 </w:t>
            </w:r>
          </w:p>
        </w:tc>
        <w:tc>
          <w:tcPr>
            <w:tcW w:w="0" w:type="auto"/>
            <w:hideMark/>
          </w:tcPr>
          <w:p w14:paraId="4D66B8D5" w14:textId="77777777" w:rsidR="00F36FCB" w:rsidRPr="00F36FCB" w:rsidRDefault="00F36FCB"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1-Jun</w:t>
            </w:r>
          </w:p>
        </w:tc>
        <w:tc>
          <w:tcPr>
            <w:tcW w:w="0" w:type="auto"/>
            <w:hideMark/>
          </w:tcPr>
          <w:p w14:paraId="78CD92F3" w14:textId="77777777" w:rsidR="00F36FCB" w:rsidRPr="00F36FCB" w:rsidRDefault="00F36FCB"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7-Jul</w:t>
            </w:r>
          </w:p>
        </w:tc>
        <w:tc>
          <w:tcPr>
            <w:tcW w:w="0" w:type="auto"/>
            <w:hideMark/>
          </w:tcPr>
          <w:p w14:paraId="018B70BD" w14:textId="77777777" w:rsidR="00F36FCB" w:rsidRPr="00F36FCB" w:rsidRDefault="00F36FCB"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13-Aug</w:t>
            </w:r>
          </w:p>
        </w:tc>
        <w:tc>
          <w:tcPr>
            <w:tcW w:w="0" w:type="auto"/>
            <w:hideMark/>
          </w:tcPr>
          <w:p w14:paraId="5D70AAE5" w14:textId="77777777" w:rsidR="00F36FCB" w:rsidRPr="00F36FCB" w:rsidRDefault="00F36FCB"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16-Sep</w:t>
            </w:r>
          </w:p>
        </w:tc>
        <w:tc>
          <w:tcPr>
            <w:tcW w:w="0" w:type="auto"/>
            <w:hideMark/>
          </w:tcPr>
          <w:p w14:paraId="465901C9" w14:textId="77777777" w:rsidR="00F36FCB" w:rsidRPr="00F36FCB" w:rsidRDefault="00F36FCB"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14-Oct</w:t>
            </w:r>
          </w:p>
        </w:tc>
        <w:tc>
          <w:tcPr>
            <w:tcW w:w="0" w:type="auto"/>
            <w:hideMark/>
          </w:tcPr>
          <w:p w14:paraId="5FA66538" w14:textId="77777777" w:rsidR="00F36FCB" w:rsidRPr="00F36FCB" w:rsidRDefault="00F36FCB"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1-Jun</w:t>
            </w:r>
          </w:p>
        </w:tc>
        <w:tc>
          <w:tcPr>
            <w:tcW w:w="0" w:type="auto"/>
            <w:hideMark/>
          </w:tcPr>
          <w:p w14:paraId="0D85F016" w14:textId="77777777" w:rsidR="00F36FCB" w:rsidRPr="00F36FCB" w:rsidRDefault="00F36FCB"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7-Jul</w:t>
            </w:r>
          </w:p>
        </w:tc>
        <w:tc>
          <w:tcPr>
            <w:tcW w:w="0" w:type="auto"/>
            <w:hideMark/>
          </w:tcPr>
          <w:p w14:paraId="66582E31" w14:textId="77777777" w:rsidR="00F36FCB" w:rsidRPr="00F36FCB" w:rsidRDefault="00F36FCB"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13-Aug</w:t>
            </w:r>
          </w:p>
        </w:tc>
        <w:tc>
          <w:tcPr>
            <w:tcW w:w="0" w:type="auto"/>
            <w:noWrap/>
            <w:hideMark/>
          </w:tcPr>
          <w:p w14:paraId="5FF10276"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14-Sep</w:t>
            </w:r>
          </w:p>
        </w:tc>
        <w:tc>
          <w:tcPr>
            <w:tcW w:w="0" w:type="auto"/>
            <w:hideMark/>
          </w:tcPr>
          <w:p w14:paraId="3BF861F4"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F36FCB">
              <w:rPr>
                <w:rFonts w:ascii="Calibri" w:eastAsia="Times New Roman" w:hAnsi="Calibri" w:cs="Calibri"/>
                <w:color w:val="000000"/>
                <w:sz w:val="18"/>
              </w:rPr>
              <w:t>14-Oct</w:t>
            </w:r>
          </w:p>
        </w:tc>
      </w:tr>
      <w:tr w:rsidR="00640544" w:rsidRPr="00F36FCB" w14:paraId="7D397C65" w14:textId="77777777" w:rsidTr="006405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3BE0A65" w14:textId="77777777" w:rsidR="00F36FCB" w:rsidRPr="00F36FCB" w:rsidRDefault="00F36FCB" w:rsidP="008C3BA5">
            <w:pPr>
              <w:keepNext/>
              <w:rPr>
                <w:rFonts w:ascii="Calibri" w:eastAsia="Times New Roman" w:hAnsi="Calibri" w:cs="Calibri"/>
                <w:color w:val="FFFFFF"/>
              </w:rPr>
            </w:pPr>
            <w:r w:rsidRPr="00F36FCB">
              <w:rPr>
                <w:rFonts w:ascii="Calibri" w:eastAsia="Times New Roman" w:hAnsi="Calibri" w:cs="Calibri"/>
                <w:color w:val="FFFFFF"/>
              </w:rPr>
              <w:t>Black</w:t>
            </w:r>
          </w:p>
        </w:tc>
        <w:tc>
          <w:tcPr>
            <w:tcW w:w="0" w:type="auto"/>
            <w:hideMark/>
          </w:tcPr>
          <w:p w14:paraId="4CA195B0"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42.7</w:t>
            </w:r>
          </w:p>
        </w:tc>
        <w:tc>
          <w:tcPr>
            <w:tcW w:w="0" w:type="auto"/>
            <w:hideMark/>
          </w:tcPr>
          <w:p w14:paraId="6DF86856"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46.2</w:t>
            </w:r>
          </w:p>
        </w:tc>
        <w:tc>
          <w:tcPr>
            <w:tcW w:w="0" w:type="auto"/>
            <w:hideMark/>
          </w:tcPr>
          <w:p w14:paraId="6DC79E8E"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48.5</w:t>
            </w:r>
          </w:p>
        </w:tc>
        <w:tc>
          <w:tcPr>
            <w:tcW w:w="0" w:type="auto"/>
            <w:hideMark/>
          </w:tcPr>
          <w:p w14:paraId="1E1A9C68"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48.8</w:t>
            </w:r>
          </w:p>
        </w:tc>
        <w:tc>
          <w:tcPr>
            <w:tcW w:w="0" w:type="auto"/>
            <w:noWrap/>
            <w:hideMark/>
          </w:tcPr>
          <w:p w14:paraId="7DEF0E21"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50</w:t>
            </w:r>
          </w:p>
        </w:tc>
        <w:tc>
          <w:tcPr>
            <w:tcW w:w="0" w:type="auto"/>
            <w:hideMark/>
          </w:tcPr>
          <w:p w14:paraId="56FE0BB6"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49.5%</w:t>
            </w:r>
          </w:p>
        </w:tc>
        <w:tc>
          <w:tcPr>
            <w:tcW w:w="0" w:type="auto"/>
            <w:hideMark/>
          </w:tcPr>
          <w:p w14:paraId="6B142B8B"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32.6</w:t>
            </w:r>
          </w:p>
        </w:tc>
        <w:tc>
          <w:tcPr>
            <w:tcW w:w="0" w:type="auto"/>
            <w:hideMark/>
          </w:tcPr>
          <w:p w14:paraId="7FD758F2"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45</w:t>
            </w:r>
          </w:p>
        </w:tc>
        <w:tc>
          <w:tcPr>
            <w:tcW w:w="0" w:type="auto"/>
            <w:hideMark/>
          </w:tcPr>
          <w:p w14:paraId="037C3A06"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48.2</w:t>
            </w:r>
          </w:p>
        </w:tc>
        <w:tc>
          <w:tcPr>
            <w:tcW w:w="0" w:type="auto"/>
            <w:noWrap/>
            <w:hideMark/>
          </w:tcPr>
          <w:p w14:paraId="4FCAA044"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44.5</w:t>
            </w:r>
          </w:p>
        </w:tc>
        <w:tc>
          <w:tcPr>
            <w:tcW w:w="0" w:type="auto"/>
            <w:hideMark/>
          </w:tcPr>
          <w:p w14:paraId="2B73315D"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40.4%</w:t>
            </w:r>
          </w:p>
        </w:tc>
      </w:tr>
      <w:tr w:rsidR="00640544" w:rsidRPr="00F36FCB" w14:paraId="35FBEB3A" w14:textId="77777777" w:rsidTr="0064054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1663710" w14:textId="77777777" w:rsidR="00F36FCB" w:rsidRPr="00F36FCB" w:rsidRDefault="00F36FCB" w:rsidP="008C3BA5">
            <w:pPr>
              <w:keepNext/>
              <w:rPr>
                <w:rFonts w:ascii="Calibri" w:eastAsia="Times New Roman" w:hAnsi="Calibri" w:cs="Calibri"/>
                <w:color w:val="FFFFFF"/>
              </w:rPr>
            </w:pPr>
            <w:r w:rsidRPr="00F36FCB">
              <w:rPr>
                <w:rFonts w:ascii="Calibri" w:eastAsia="Times New Roman" w:hAnsi="Calibri" w:cs="Calibri"/>
                <w:color w:val="FFFFFF"/>
              </w:rPr>
              <w:t>Hispanic</w:t>
            </w:r>
          </w:p>
        </w:tc>
        <w:tc>
          <w:tcPr>
            <w:tcW w:w="0" w:type="auto"/>
            <w:hideMark/>
          </w:tcPr>
          <w:p w14:paraId="695B2AC4"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3.7</w:t>
            </w:r>
          </w:p>
        </w:tc>
        <w:tc>
          <w:tcPr>
            <w:tcW w:w="0" w:type="auto"/>
            <w:hideMark/>
          </w:tcPr>
          <w:p w14:paraId="698485C1"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0</w:t>
            </w:r>
          </w:p>
        </w:tc>
        <w:tc>
          <w:tcPr>
            <w:tcW w:w="0" w:type="auto"/>
            <w:hideMark/>
          </w:tcPr>
          <w:p w14:paraId="1C0C342D"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0</w:t>
            </w:r>
          </w:p>
        </w:tc>
        <w:tc>
          <w:tcPr>
            <w:tcW w:w="0" w:type="auto"/>
            <w:hideMark/>
          </w:tcPr>
          <w:p w14:paraId="1B3A6DE1"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0</w:t>
            </w:r>
          </w:p>
        </w:tc>
        <w:tc>
          <w:tcPr>
            <w:tcW w:w="0" w:type="auto"/>
            <w:noWrap/>
            <w:hideMark/>
          </w:tcPr>
          <w:p w14:paraId="2B9607D0"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1</w:t>
            </w:r>
          </w:p>
        </w:tc>
        <w:tc>
          <w:tcPr>
            <w:tcW w:w="0" w:type="auto"/>
            <w:hideMark/>
          </w:tcPr>
          <w:p w14:paraId="35B67D72"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0.9%</w:t>
            </w:r>
          </w:p>
        </w:tc>
        <w:tc>
          <w:tcPr>
            <w:tcW w:w="0" w:type="auto"/>
            <w:hideMark/>
          </w:tcPr>
          <w:p w14:paraId="34F751CF"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17.3</w:t>
            </w:r>
          </w:p>
        </w:tc>
        <w:tc>
          <w:tcPr>
            <w:tcW w:w="0" w:type="auto"/>
            <w:hideMark/>
          </w:tcPr>
          <w:p w14:paraId="0F0A5269"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9</w:t>
            </w:r>
          </w:p>
        </w:tc>
        <w:tc>
          <w:tcPr>
            <w:tcW w:w="0" w:type="auto"/>
            <w:hideMark/>
          </w:tcPr>
          <w:p w14:paraId="1A084251"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6.2</w:t>
            </w:r>
          </w:p>
        </w:tc>
        <w:tc>
          <w:tcPr>
            <w:tcW w:w="0" w:type="auto"/>
            <w:noWrap/>
            <w:hideMark/>
          </w:tcPr>
          <w:p w14:paraId="49E4CB6E"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6.7</w:t>
            </w:r>
          </w:p>
        </w:tc>
        <w:tc>
          <w:tcPr>
            <w:tcW w:w="0" w:type="auto"/>
            <w:hideMark/>
          </w:tcPr>
          <w:p w14:paraId="695D2907"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5.6%</w:t>
            </w:r>
          </w:p>
        </w:tc>
      </w:tr>
      <w:tr w:rsidR="00640544" w:rsidRPr="00F36FCB" w14:paraId="6635DF8C" w14:textId="77777777" w:rsidTr="006405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C7BE950" w14:textId="77777777" w:rsidR="00F36FCB" w:rsidRPr="00F36FCB" w:rsidRDefault="00F36FCB" w:rsidP="008C3BA5">
            <w:pPr>
              <w:keepNext/>
              <w:rPr>
                <w:rFonts w:ascii="Calibri" w:eastAsia="Times New Roman" w:hAnsi="Calibri" w:cs="Calibri"/>
                <w:color w:val="FFFFFF"/>
              </w:rPr>
            </w:pPr>
            <w:r w:rsidRPr="00F36FCB">
              <w:rPr>
                <w:rFonts w:ascii="Calibri" w:eastAsia="Times New Roman" w:hAnsi="Calibri" w:cs="Calibri"/>
                <w:color w:val="FFFFFF"/>
              </w:rPr>
              <w:t>White</w:t>
            </w:r>
          </w:p>
        </w:tc>
        <w:tc>
          <w:tcPr>
            <w:tcW w:w="0" w:type="auto"/>
            <w:hideMark/>
          </w:tcPr>
          <w:p w14:paraId="58B2625A"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48.2</w:t>
            </w:r>
          </w:p>
        </w:tc>
        <w:tc>
          <w:tcPr>
            <w:tcW w:w="0" w:type="auto"/>
            <w:hideMark/>
          </w:tcPr>
          <w:p w14:paraId="4E73EAB0"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38.5</w:t>
            </w:r>
          </w:p>
        </w:tc>
        <w:tc>
          <w:tcPr>
            <w:tcW w:w="0" w:type="auto"/>
            <w:hideMark/>
          </w:tcPr>
          <w:p w14:paraId="4FFF5387"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36.4</w:t>
            </w:r>
          </w:p>
        </w:tc>
        <w:tc>
          <w:tcPr>
            <w:tcW w:w="0" w:type="auto"/>
            <w:hideMark/>
          </w:tcPr>
          <w:p w14:paraId="113449F9"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39.3</w:t>
            </w:r>
          </w:p>
        </w:tc>
        <w:tc>
          <w:tcPr>
            <w:tcW w:w="0" w:type="auto"/>
            <w:noWrap/>
            <w:hideMark/>
          </w:tcPr>
          <w:p w14:paraId="1E068676"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37.3</w:t>
            </w:r>
          </w:p>
        </w:tc>
        <w:tc>
          <w:tcPr>
            <w:tcW w:w="0" w:type="auto"/>
            <w:hideMark/>
          </w:tcPr>
          <w:p w14:paraId="7B612EC3"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37.8%</w:t>
            </w:r>
          </w:p>
        </w:tc>
        <w:tc>
          <w:tcPr>
            <w:tcW w:w="0" w:type="auto"/>
            <w:hideMark/>
          </w:tcPr>
          <w:p w14:paraId="5A4BDD22"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28.7</w:t>
            </w:r>
          </w:p>
        </w:tc>
        <w:tc>
          <w:tcPr>
            <w:tcW w:w="0" w:type="auto"/>
            <w:hideMark/>
          </w:tcPr>
          <w:p w14:paraId="2B6F4994"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18.9</w:t>
            </w:r>
          </w:p>
        </w:tc>
        <w:tc>
          <w:tcPr>
            <w:tcW w:w="0" w:type="auto"/>
            <w:hideMark/>
          </w:tcPr>
          <w:p w14:paraId="67667FA4"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23.4</w:t>
            </w:r>
          </w:p>
        </w:tc>
        <w:tc>
          <w:tcPr>
            <w:tcW w:w="0" w:type="auto"/>
            <w:noWrap/>
            <w:hideMark/>
          </w:tcPr>
          <w:p w14:paraId="623B9E5A"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31.4</w:t>
            </w:r>
          </w:p>
        </w:tc>
        <w:tc>
          <w:tcPr>
            <w:tcW w:w="0" w:type="auto"/>
            <w:hideMark/>
          </w:tcPr>
          <w:p w14:paraId="2436D27E"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37.0%</w:t>
            </w:r>
          </w:p>
        </w:tc>
      </w:tr>
      <w:tr w:rsidR="00640544" w:rsidRPr="00F36FCB" w14:paraId="2F63E385" w14:textId="77777777" w:rsidTr="0064054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BCDEB68" w14:textId="77777777" w:rsidR="00F36FCB" w:rsidRPr="00F36FCB" w:rsidRDefault="00F36FCB" w:rsidP="008C3BA5">
            <w:pPr>
              <w:keepNext/>
              <w:rPr>
                <w:rFonts w:ascii="Calibri" w:eastAsia="Times New Roman" w:hAnsi="Calibri" w:cs="Calibri"/>
                <w:color w:val="FFFFFF"/>
              </w:rPr>
            </w:pPr>
            <w:r w:rsidRPr="00F36FCB">
              <w:rPr>
                <w:rFonts w:ascii="Calibri" w:eastAsia="Times New Roman" w:hAnsi="Calibri" w:cs="Calibri"/>
                <w:color w:val="FFFFFF"/>
              </w:rPr>
              <w:t>Other</w:t>
            </w:r>
          </w:p>
        </w:tc>
        <w:tc>
          <w:tcPr>
            <w:tcW w:w="0" w:type="auto"/>
            <w:hideMark/>
          </w:tcPr>
          <w:p w14:paraId="65CCBDAF"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5.4</w:t>
            </w:r>
          </w:p>
        </w:tc>
        <w:tc>
          <w:tcPr>
            <w:tcW w:w="0" w:type="auto"/>
            <w:hideMark/>
          </w:tcPr>
          <w:p w14:paraId="7A95D8A8"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5.8</w:t>
            </w:r>
          </w:p>
        </w:tc>
        <w:tc>
          <w:tcPr>
            <w:tcW w:w="0" w:type="auto"/>
            <w:hideMark/>
          </w:tcPr>
          <w:p w14:paraId="61A5AF6C"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6.1</w:t>
            </w:r>
          </w:p>
        </w:tc>
        <w:tc>
          <w:tcPr>
            <w:tcW w:w="0" w:type="auto"/>
            <w:hideMark/>
          </w:tcPr>
          <w:p w14:paraId="2C47AEF5"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6</w:t>
            </w:r>
          </w:p>
        </w:tc>
        <w:tc>
          <w:tcPr>
            <w:tcW w:w="0" w:type="auto"/>
            <w:noWrap/>
            <w:hideMark/>
          </w:tcPr>
          <w:p w14:paraId="550FB5FC"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3.9</w:t>
            </w:r>
          </w:p>
        </w:tc>
        <w:tc>
          <w:tcPr>
            <w:tcW w:w="0" w:type="auto"/>
            <w:hideMark/>
          </w:tcPr>
          <w:p w14:paraId="56C55B3D"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4.5%</w:t>
            </w:r>
          </w:p>
        </w:tc>
        <w:tc>
          <w:tcPr>
            <w:tcW w:w="0" w:type="auto"/>
            <w:hideMark/>
          </w:tcPr>
          <w:p w14:paraId="6C4A1311"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6.8</w:t>
            </w:r>
          </w:p>
        </w:tc>
        <w:tc>
          <w:tcPr>
            <w:tcW w:w="0" w:type="auto"/>
            <w:hideMark/>
          </w:tcPr>
          <w:p w14:paraId="70CA6032"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4.2</w:t>
            </w:r>
          </w:p>
        </w:tc>
        <w:tc>
          <w:tcPr>
            <w:tcW w:w="0" w:type="auto"/>
            <w:hideMark/>
          </w:tcPr>
          <w:p w14:paraId="1ED94318"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4.9</w:t>
            </w:r>
          </w:p>
        </w:tc>
        <w:tc>
          <w:tcPr>
            <w:tcW w:w="0" w:type="auto"/>
            <w:noWrap/>
            <w:hideMark/>
          </w:tcPr>
          <w:p w14:paraId="0FEFBCF9"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4.1</w:t>
            </w:r>
          </w:p>
        </w:tc>
        <w:tc>
          <w:tcPr>
            <w:tcW w:w="0" w:type="auto"/>
            <w:hideMark/>
          </w:tcPr>
          <w:p w14:paraId="7B315A58" w14:textId="77777777" w:rsidR="00F36FCB" w:rsidRPr="00F36FCB" w:rsidRDefault="00F36FCB"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4.5%</w:t>
            </w:r>
          </w:p>
        </w:tc>
      </w:tr>
      <w:tr w:rsidR="00640544" w:rsidRPr="00F36FCB" w14:paraId="371A98E8" w14:textId="77777777" w:rsidTr="0064054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hideMark/>
          </w:tcPr>
          <w:p w14:paraId="261C4168" w14:textId="77777777" w:rsidR="00F36FCB" w:rsidRPr="00F36FCB" w:rsidRDefault="00F36FCB" w:rsidP="008C3BA5">
            <w:pPr>
              <w:keepNext/>
              <w:rPr>
                <w:rFonts w:ascii="Calibri" w:eastAsia="Times New Roman" w:hAnsi="Calibri" w:cs="Calibri"/>
                <w:color w:val="FFFFFF"/>
              </w:rPr>
            </w:pPr>
            <w:r w:rsidRPr="00F36FCB">
              <w:rPr>
                <w:rFonts w:ascii="Calibri" w:eastAsia="Times New Roman" w:hAnsi="Calibri" w:cs="Calibri"/>
                <w:color w:val="FFFFFF"/>
              </w:rPr>
              <w:t>Unknown</w:t>
            </w:r>
          </w:p>
        </w:tc>
        <w:tc>
          <w:tcPr>
            <w:tcW w:w="0" w:type="auto"/>
            <w:hideMark/>
          </w:tcPr>
          <w:p w14:paraId="2505EF53"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NA</w:t>
            </w:r>
          </w:p>
        </w:tc>
        <w:tc>
          <w:tcPr>
            <w:tcW w:w="0" w:type="auto"/>
            <w:hideMark/>
          </w:tcPr>
          <w:p w14:paraId="6FBB13FF"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9.6</w:t>
            </w:r>
          </w:p>
        </w:tc>
        <w:tc>
          <w:tcPr>
            <w:tcW w:w="0" w:type="auto"/>
            <w:hideMark/>
          </w:tcPr>
          <w:p w14:paraId="76FB1D76"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9.1</w:t>
            </w:r>
          </w:p>
        </w:tc>
        <w:tc>
          <w:tcPr>
            <w:tcW w:w="0" w:type="auto"/>
            <w:hideMark/>
          </w:tcPr>
          <w:p w14:paraId="1AA63394"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6</w:t>
            </w:r>
          </w:p>
        </w:tc>
        <w:tc>
          <w:tcPr>
            <w:tcW w:w="0" w:type="auto"/>
            <w:noWrap/>
            <w:hideMark/>
          </w:tcPr>
          <w:p w14:paraId="7515640B"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7.8</w:t>
            </w:r>
          </w:p>
        </w:tc>
        <w:tc>
          <w:tcPr>
            <w:tcW w:w="0" w:type="auto"/>
            <w:hideMark/>
          </w:tcPr>
          <w:p w14:paraId="50ABEB70"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7.2%</w:t>
            </w:r>
          </w:p>
        </w:tc>
        <w:tc>
          <w:tcPr>
            <w:tcW w:w="0" w:type="auto"/>
            <w:hideMark/>
          </w:tcPr>
          <w:p w14:paraId="6E7401D3"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14.6</w:t>
            </w:r>
          </w:p>
        </w:tc>
        <w:tc>
          <w:tcPr>
            <w:tcW w:w="0" w:type="auto"/>
            <w:hideMark/>
          </w:tcPr>
          <w:p w14:paraId="7376E932"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22.7</w:t>
            </w:r>
          </w:p>
        </w:tc>
        <w:tc>
          <w:tcPr>
            <w:tcW w:w="0" w:type="auto"/>
            <w:hideMark/>
          </w:tcPr>
          <w:p w14:paraId="33DD1295"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17.3</w:t>
            </w:r>
          </w:p>
        </w:tc>
        <w:tc>
          <w:tcPr>
            <w:tcW w:w="0" w:type="auto"/>
            <w:noWrap/>
            <w:hideMark/>
          </w:tcPr>
          <w:p w14:paraId="431EBBDD"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13.3</w:t>
            </w:r>
          </w:p>
        </w:tc>
        <w:tc>
          <w:tcPr>
            <w:tcW w:w="0" w:type="auto"/>
            <w:hideMark/>
          </w:tcPr>
          <w:p w14:paraId="0D19F00B" w14:textId="77777777" w:rsidR="00F36FCB" w:rsidRPr="00F36FCB" w:rsidRDefault="00F36FCB"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CB">
              <w:rPr>
                <w:rFonts w:ascii="Calibri" w:eastAsia="Times New Roman" w:hAnsi="Calibri" w:cs="Calibri"/>
                <w:color w:val="000000"/>
              </w:rPr>
              <w:t>12.6%</w:t>
            </w:r>
          </w:p>
        </w:tc>
      </w:tr>
    </w:tbl>
    <w:p w14:paraId="009A5624" w14:textId="7B706D0C" w:rsidR="00B97637" w:rsidRDefault="0096706C" w:rsidP="00095377">
      <w:pPr>
        <w:jc w:val="right"/>
        <w:rPr>
          <w:i/>
          <w:iCs/>
        </w:rPr>
      </w:pPr>
      <w:r w:rsidRPr="006C7744">
        <w:rPr>
          <w:b/>
          <w:bCs/>
          <w:i/>
          <w:iCs/>
        </w:rPr>
        <w:t>Source:</w:t>
      </w:r>
      <w:r w:rsidRPr="006C7744">
        <w:rPr>
          <w:i/>
          <w:iCs/>
        </w:rPr>
        <w:t xml:space="preserve"> Cincinnati Health Department June 1, July 7</w:t>
      </w:r>
      <w:r w:rsidR="00BD6E15">
        <w:rPr>
          <w:i/>
          <w:iCs/>
        </w:rPr>
        <w:t xml:space="preserve">, August </w:t>
      </w:r>
      <w:r w:rsidR="00291BB2">
        <w:rPr>
          <w:i/>
          <w:iCs/>
        </w:rPr>
        <w:t>13</w:t>
      </w:r>
      <w:r w:rsidR="00B02A0E">
        <w:rPr>
          <w:i/>
          <w:iCs/>
        </w:rPr>
        <w:t>, September 14,</w:t>
      </w:r>
      <w:r w:rsidR="00031FFE">
        <w:rPr>
          <w:i/>
          <w:iCs/>
        </w:rPr>
        <w:t>16</w:t>
      </w:r>
      <w:r w:rsidR="00F36FCB">
        <w:rPr>
          <w:i/>
          <w:iCs/>
        </w:rPr>
        <w:t>, October 14</w:t>
      </w:r>
    </w:p>
    <w:p w14:paraId="56B2725A" w14:textId="0880B855" w:rsidR="006629E0" w:rsidRDefault="006629E0">
      <w:r>
        <w:t xml:space="preserve">Blacks in Cincinnati are more likely to die from the </w:t>
      </w:r>
      <w:r w:rsidR="00E978B4">
        <w:t>virus</w:t>
      </w:r>
      <w:r>
        <w:t xml:space="preserve"> than whites </w:t>
      </w:r>
      <w:r w:rsidR="00B445D5">
        <w:t>and</w:t>
      </w:r>
      <w:r>
        <w:t xml:space="preserve"> the disparity is </w:t>
      </w:r>
      <w:r w:rsidR="00B445D5">
        <w:t>in</w:t>
      </w:r>
      <w:r>
        <w:t xml:space="preserve">creasing </w:t>
      </w:r>
      <w:r w:rsidR="00291BB2">
        <w:t xml:space="preserve">slightly </w:t>
      </w:r>
      <w:r>
        <w:t xml:space="preserve">over time.  The percentage of confirmed cases resulting in deaths is comparable to the national experience.  The rate for </w:t>
      </w:r>
      <w:r w:rsidR="004F270C">
        <w:t>Cincinnati</w:t>
      </w:r>
      <w:r>
        <w:t xml:space="preserve"> is</w:t>
      </w:r>
      <w:r w:rsidR="00B445D5">
        <w:t xml:space="preserve"> 1.75</w:t>
      </w:r>
      <w:r w:rsidR="00DE0406">
        <w:t xml:space="preserve"> </w:t>
      </w:r>
      <w:r>
        <w:t>percent.</w:t>
      </w:r>
    </w:p>
    <w:p w14:paraId="60C280E3" w14:textId="77777777" w:rsidR="00B02A0E" w:rsidRDefault="00B02A0E" w:rsidP="00B02A0E">
      <w:pPr>
        <w:pStyle w:val="Heading2"/>
      </w:pPr>
      <w:r>
        <w:t>Age</w:t>
      </w:r>
    </w:p>
    <w:p w14:paraId="4E381065" w14:textId="5E13FE0F" w:rsidR="006629E0" w:rsidRDefault="00B02A0E" w:rsidP="00B02A0E">
      <w:r w:rsidRPr="00B57676">
        <w:rPr>
          <w:b/>
          <w:bCs/>
        </w:rPr>
        <w:t>Table 3</w:t>
      </w:r>
      <w:r w:rsidRPr="00B57676">
        <w:t xml:space="preserve"> shows that the number of deaths as of </w:t>
      </w:r>
      <w:r w:rsidR="00F83E5B">
        <w:t>October 14</w:t>
      </w:r>
      <w:r w:rsidRPr="00B57676">
        <w:t xml:space="preserve"> is still highest in the older age ranges.  There are no recorded deaths for th</w:t>
      </w:r>
      <w:r w:rsidR="00B57676" w:rsidRPr="00B57676">
        <w:t xml:space="preserve">e under 30 </w:t>
      </w:r>
      <w:proofErr w:type="gramStart"/>
      <w:r w:rsidR="00B57676" w:rsidRPr="00B57676">
        <w:t>population</w:t>
      </w:r>
      <w:proofErr w:type="gramEnd"/>
      <w:r w:rsidR="00B57676" w:rsidRPr="00B57676">
        <w:t xml:space="preserve"> and only 2</w:t>
      </w:r>
      <w:r w:rsidRPr="00B57676">
        <w:t xml:space="preserve"> in the under 40 population.  The numbers of cases and percentages of increase really jumped in the younger population groups, however.  The largest percent increase as of </w:t>
      </w:r>
      <w:r w:rsidR="00F83E5B">
        <w:t>October 14</w:t>
      </w:r>
      <w:r w:rsidRPr="00B57676">
        <w:t xml:space="preserve"> was in the 10-19 age group at </w:t>
      </w:r>
      <w:r w:rsidR="00F83E5B">
        <w:t>1,731</w:t>
      </w:r>
      <w:r w:rsidR="00F36FCB">
        <w:t>% -- still only 769</w:t>
      </w:r>
      <w:r w:rsidRPr="00B57676">
        <w:t xml:space="preserve"> cases though, out of </w:t>
      </w:r>
      <w:r w:rsidR="00F36FCB">
        <w:t>6,319</w:t>
      </w:r>
      <w:r w:rsidRPr="00B57676">
        <w:t xml:space="preserve">.  </w:t>
      </w:r>
      <w:r w:rsidR="00B57676" w:rsidRPr="00B57676">
        <w:t xml:space="preserve">The 20-29 group jumped by </w:t>
      </w:r>
      <w:r w:rsidR="00F36FCB">
        <w:t>1004</w:t>
      </w:r>
      <w:r w:rsidR="00B57676" w:rsidRPr="00B57676">
        <w:t xml:space="preserve">%.  </w:t>
      </w:r>
      <w:r w:rsidRPr="00B57676">
        <w:t>The number of confirmed cases continued to climb in the older age groups but the percent increases were not as dramatic.  The virus is not killing our young people but is surgi</w:t>
      </w:r>
      <w:r w:rsidR="00B57676" w:rsidRPr="00B57676">
        <w:t>ng among the 20-60 population.</w:t>
      </w:r>
      <w:r w:rsidR="00E177D5">
        <w:t xml:space="preserve">  The experts are concerned about possible long term effects of the virus on young people.</w:t>
      </w:r>
    </w:p>
    <w:tbl>
      <w:tblPr>
        <w:tblStyle w:val="GridTable5Dark-Accent5"/>
        <w:tblW w:w="0" w:type="auto"/>
        <w:tblLook w:val="04E0" w:firstRow="1" w:lastRow="1" w:firstColumn="1" w:lastColumn="0" w:noHBand="0" w:noVBand="1"/>
      </w:tblPr>
      <w:tblGrid>
        <w:gridCol w:w="1079"/>
        <w:gridCol w:w="644"/>
        <w:gridCol w:w="585"/>
        <w:gridCol w:w="780"/>
        <w:gridCol w:w="750"/>
        <w:gridCol w:w="923"/>
        <w:gridCol w:w="674"/>
        <w:gridCol w:w="674"/>
        <w:gridCol w:w="788"/>
        <w:gridCol w:w="771"/>
        <w:gridCol w:w="759"/>
        <w:gridCol w:w="923"/>
      </w:tblGrid>
      <w:tr w:rsidR="00083F98" w:rsidRPr="00083F98" w14:paraId="78C92618" w14:textId="77777777" w:rsidTr="00083F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2"/>
            <w:hideMark/>
          </w:tcPr>
          <w:p w14:paraId="3647BA77" w14:textId="77777777" w:rsidR="00083F98" w:rsidRPr="00083F98" w:rsidRDefault="00083F98" w:rsidP="008C3BA5">
            <w:pPr>
              <w:keepNext/>
              <w:jc w:val="center"/>
              <w:rPr>
                <w:rFonts w:ascii="Calibri" w:eastAsia="Times New Roman" w:hAnsi="Calibri" w:cs="Times New Roman"/>
                <w:color w:val="FFFFFF"/>
              </w:rPr>
            </w:pPr>
            <w:r w:rsidRPr="00083F98">
              <w:rPr>
                <w:rFonts w:ascii="Calibri" w:eastAsia="Times New Roman" w:hAnsi="Calibri" w:cs="Times New Roman"/>
                <w:color w:val="FFFFFF"/>
              </w:rPr>
              <w:t>Table 3: Age Distribution of Deaths and Confirmed Cases</w:t>
            </w:r>
          </w:p>
        </w:tc>
      </w:tr>
      <w:tr w:rsidR="00083F98" w:rsidRPr="00083F98" w14:paraId="1AC67A24" w14:textId="77777777" w:rsidTr="0008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7C74FC4"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Age Group</w:t>
            </w:r>
          </w:p>
        </w:tc>
        <w:tc>
          <w:tcPr>
            <w:tcW w:w="0" w:type="auto"/>
            <w:gridSpan w:val="5"/>
            <w:hideMark/>
          </w:tcPr>
          <w:p w14:paraId="437C87B2" w14:textId="2ECAA76E" w:rsidR="00083F98" w:rsidRPr="00083F98" w:rsidRDefault="00083F98" w:rsidP="008C3BA5">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Deaths</w:t>
            </w:r>
          </w:p>
        </w:tc>
        <w:tc>
          <w:tcPr>
            <w:tcW w:w="0" w:type="auto"/>
            <w:gridSpan w:val="6"/>
            <w:hideMark/>
          </w:tcPr>
          <w:p w14:paraId="7E7CF4C1" w14:textId="3B92D11E" w:rsidR="00083F98" w:rsidRPr="00083F98" w:rsidRDefault="00083F98" w:rsidP="008C3BA5">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Cases</w:t>
            </w:r>
            <w:r w:rsidRPr="00083F98">
              <w:rPr>
                <w:rFonts w:ascii="Calibri" w:eastAsia="Times New Roman" w:hAnsi="Calibri" w:cs="Times New Roman"/>
                <w:color w:val="000000"/>
                <w:sz w:val="20"/>
                <w:szCs w:val="20"/>
              </w:rPr>
              <w:t> </w:t>
            </w:r>
          </w:p>
        </w:tc>
      </w:tr>
      <w:tr w:rsidR="00083F98" w:rsidRPr="00083F98" w14:paraId="0C33848C" w14:textId="77777777" w:rsidTr="00083F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B486B74"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 </w:t>
            </w:r>
          </w:p>
        </w:tc>
        <w:tc>
          <w:tcPr>
            <w:tcW w:w="0" w:type="auto"/>
            <w:hideMark/>
          </w:tcPr>
          <w:p w14:paraId="344F19B5"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1-Jun</w:t>
            </w:r>
          </w:p>
        </w:tc>
        <w:tc>
          <w:tcPr>
            <w:tcW w:w="0" w:type="auto"/>
            <w:hideMark/>
          </w:tcPr>
          <w:p w14:paraId="599A030E"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7-Jul</w:t>
            </w:r>
          </w:p>
        </w:tc>
        <w:tc>
          <w:tcPr>
            <w:tcW w:w="0" w:type="auto"/>
            <w:hideMark/>
          </w:tcPr>
          <w:p w14:paraId="047402D0"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13-Aug</w:t>
            </w:r>
          </w:p>
        </w:tc>
        <w:tc>
          <w:tcPr>
            <w:tcW w:w="0" w:type="auto"/>
            <w:hideMark/>
          </w:tcPr>
          <w:p w14:paraId="719C870E"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14-Oct</w:t>
            </w:r>
          </w:p>
        </w:tc>
        <w:tc>
          <w:tcPr>
            <w:tcW w:w="0" w:type="auto"/>
            <w:hideMark/>
          </w:tcPr>
          <w:p w14:paraId="1CF60558"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 xml:space="preserve">% </w:t>
            </w:r>
            <w:proofErr w:type="spellStart"/>
            <w:r w:rsidRPr="00083F98">
              <w:rPr>
                <w:rFonts w:ascii="Calibri" w:eastAsia="Times New Roman" w:hAnsi="Calibri" w:cs="Times New Roman"/>
                <w:color w:val="000000"/>
                <w:sz w:val="20"/>
                <w:szCs w:val="20"/>
              </w:rPr>
              <w:t>Inc</w:t>
            </w:r>
            <w:proofErr w:type="spellEnd"/>
          </w:p>
        </w:tc>
        <w:tc>
          <w:tcPr>
            <w:tcW w:w="0" w:type="auto"/>
            <w:hideMark/>
          </w:tcPr>
          <w:p w14:paraId="2537D21E"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1-Jun</w:t>
            </w:r>
          </w:p>
        </w:tc>
        <w:tc>
          <w:tcPr>
            <w:tcW w:w="0" w:type="auto"/>
            <w:hideMark/>
          </w:tcPr>
          <w:p w14:paraId="698497DF"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7-Jul</w:t>
            </w:r>
          </w:p>
        </w:tc>
        <w:tc>
          <w:tcPr>
            <w:tcW w:w="0" w:type="auto"/>
            <w:hideMark/>
          </w:tcPr>
          <w:p w14:paraId="1EC33116"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13-Aug</w:t>
            </w:r>
          </w:p>
        </w:tc>
        <w:tc>
          <w:tcPr>
            <w:tcW w:w="0" w:type="auto"/>
            <w:hideMark/>
          </w:tcPr>
          <w:p w14:paraId="413EE21F"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14-Sep</w:t>
            </w:r>
          </w:p>
        </w:tc>
        <w:tc>
          <w:tcPr>
            <w:tcW w:w="0" w:type="auto"/>
            <w:hideMark/>
          </w:tcPr>
          <w:p w14:paraId="2475A3E4"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14-Oct</w:t>
            </w:r>
          </w:p>
        </w:tc>
        <w:tc>
          <w:tcPr>
            <w:tcW w:w="0" w:type="auto"/>
            <w:hideMark/>
          </w:tcPr>
          <w:p w14:paraId="501D397E" w14:textId="77777777" w:rsidR="00083F98" w:rsidRPr="00083F98" w:rsidRDefault="00083F98" w:rsidP="008C3BA5">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 xml:space="preserve">% </w:t>
            </w:r>
            <w:proofErr w:type="spellStart"/>
            <w:r w:rsidRPr="00083F98">
              <w:rPr>
                <w:rFonts w:ascii="Calibri" w:eastAsia="Times New Roman" w:hAnsi="Calibri" w:cs="Times New Roman"/>
                <w:color w:val="000000"/>
                <w:sz w:val="20"/>
                <w:szCs w:val="20"/>
              </w:rPr>
              <w:t>Inc</w:t>
            </w:r>
            <w:proofErr w:type="spellEnd"/>
          </w:p>
        </w:tc>
      </w:tr>
      <w:tr w:rsidR="00083F98" w:rsidRPr="00083F98" w14:paraId="6230F01D" w14:textId="77777777" w:rsidTr="0008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F70A64F"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0-9</w:t>
            </w:r>
          </w:p>
        </w:tc>
        <w:tc>
          <w:tcPr>
            <w:tcW w:w="0" w:type="auto"/>
            <w:hideMark/>
          </w:tcPr>
          <w:p w14:paraId="0FA8E810"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5DDB6C9A"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45E23207"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11A60778"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297940AA"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NA</w:t>
            </w:r>
          </w:p>
        </w:tc>
        <w:tc>
          <w:tcPr>
            <w:tcW w:w="0" w:type="auto"/>
            <w:hideMark/>
          </w:tcPr>
          <w:p w14:paraId="2BB28AD5"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22</w:t>
            </w:r>
          </w:p>
        </w:tc>
        <w:tc>
          <w:tcPr>
            <w:tcW w:w="0" w:type="auto"/>
            <w:hideMark/>
          </w:tcPr>
          <w:p w14:paraId="7B84D562"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99</w:t>
            </w:r>
          </w:p>
        </w:tc>
        <w:tc>
          <w:tcPr>
            <w:tcW w:w="0" w:type="auto"/>
            <w:hideMark/>
          </w:tcPr>
          <w:p w14:paraId="31FAFFCC"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133</w:t>
            </w:r>
          </w:p>
        </w:tc>
        <w:tc>
          <w:tcPr>
            <w:tcW w:w="0" w:type="auto"/>
            <w:hideMark/>
          </w:tcPr>
          <w:p w14:paraId="0533FDDE"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149</w:t>
            </w:r>
          </w:p>
        </w:tc>
        <w:tc>
          <w:tcPr>
            <w:tcW w:w="0" w:type="auto"/>
            <w:hideMark/>
          </w:tcPr>
          <w:p w14:paraId="369EEF70"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164</w:t>
            </w:r>
          </w:p>
        </w:tc>
        <w:tc>
          <w:tcPr>
            <w:tcW w:w="0" w:type="auto"/>
            <w:hideMark/>
          </w:tcPr>
          <w:p w14:paraId="0A546199"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645%</w:t>
            </w:r>
          </w:p>
        </w:tc>
      </w:tr>
      <w:tr w:rsidR="00083F98" w:rsidRPr="00083F98" w14:paraId="3606022E" w14:textId="77777777" w:rsidTr="00083F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A7877F5"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10-19</w:t>
            </w:r>
          </w:p>
        </w:tc>
        <w:tc>
          <w:tcPr>
            <w:tcW w:w="0" w:type="auto"/>
            <w:hideMark/>
          </w:tcPr>
          <w:p w14:paraId="4A9EA94D"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43D1CAC3"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625C61DF"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0D238959"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2758CCF0"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NA</w:t>
            </w:r>
          </w:p>
        </w:tc>
        <w:tc>
          <w:tcPr>
            <w:tcW w:w="0" w:type="auto"/>
            <w:hideMark/>
          </w:tcPr>
          <w:p w14:paraId="14BAD01B"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42</w:t>
            </w:r>
          </w:p>
        </w:tc>
        <w:tc>
          <w:tcPr>
            <w:tcW w:w="0" w:type="auto"/>
            <w:hideMark/>
          </w:tcPr>
          <w:p w14:paraId="5DCE6922"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169</w:t>
            </w:r>
          </w:p>
        </w:tc>
        <w:tc>
          <w:tcPr>
            <w:tcW w:w="0" w:type="auto"/>
            <w:hideMark/>
          </w:tcPr>
          <w:p w14:paraId="52A42893"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310</w:t>
            </w:r>
          </w:p>
        </w:tc>
        <w:tc>
          <w:tcPr>
            <w:tcW w:w="0" w:type="auto"/>
            <w:hideMark/>
          </w:tcPr>
          <w:p w14:paraId="7EB56677"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565</w:t>
            </w:r>
          </w:p>
        </w:tc>
        <w:tc>
          <w:tcPr>
            <w:tcW w:w="0" w:type="auto"/>
            <w:hideMark/>
          </w:tcPr>
          <w:p w14:paraId="1028E5FC"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769</w:t>
            </w:r>
          </w:p>
        </w:tc>
        <w:tc>
          <w:tcPr>
            <w:tcW w:w="0" w:type="auto"/>
            <w:hideMark/>
          </w:tcPr>
          <w:p w14:paraId="0C0BA6AD"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1731%</w:t>
            </w:r>
          </w:p>
        </w:tc>
      </w:tr>
      <w:tr w:rsidR="00083F98" w:rsidRPr="00083F98" w14:paraId="3B778160" w14:textId="77777777" w:rsidTr="0008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F8E758E"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20-29</w:t>
            </w:r>
          </w:p>
        </w:tc>
        <w:tc>
          <w:tcPr>
            <w:tcW w:w="0" w:type="auto"/>
            <w:hideMark/>
          </w:tcPr>
          <w:p w14:paraId="37409012"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42E3C0F4"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366E363F"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3D23CE0D"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0</w:t>
            </w:r>
          </w:p>
        </w:tc>
        <w:tc>
          <w:tcPr>
            <w:tcW w:w="0" w:type="auto"/>
            <w:hideMark/>
          </w:tcPr>
          <w:p w14:paraId="21A4A749"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NA</w:t>
            </w:r>
          </w:p>
        </w:tc>
        <w:tc>
          <w:tcPr>
            <w:tcW w:w="0" w:type="auto"/>
            <w:hideMark/>
          </w:tcPr>
          <w:p w14:paraId="44B257D6"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172</w:t>
            </w:r>
          </w:p>
        </w:tc>
        <w:tc>
          <w:tcPr>
            <w:tcW w:w="0" w:type="auto"/>
            <w:hideMark/>
          </w:tcPr>
          <w:p w14:paraId="08E08F0D"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614</w:t>
            </w:r>
          </w:p>
        </w:tc>
        <w:tc>
          <w:tcPr>
            <w:tcW w:w="0" w:type="auto"/>
            <w:hideMark/>
          </w:tcPr>
          <w:p w14:paraId="29DCA530"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1,117</w:t>
            </w:r>
          </w:p>
        </w:tc>
        <w:tc>
          <w:tcPr>
            <w:tcW w:w="0" w:type="auto"/>
            <w:hideMark/>
          </w:tcPr>
          <w:p w14:paraId="10B9F683"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1,504</w:t>
            </w:r>
          </w:p>
        </w:tc>
        <w:tc>
          <w:tcPr>
            <w:tcW w:w="0" w:type="auto"/>
            <w:hideMark/>
          </w:tcPr>
          <w:p w14:paraId="4932AB6C"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1899</w:t>
            </w:r>
          </w:p>
        </w:tc>
        <w:tc>
          <w:tcPr>
            <w:tcW w:w="0" w:type="auto"/>
            <w:hideMark/>
          </w:tcPr>
          <w:p w14:paraId="37E7320A"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1004%</w:t>
            </w:r>
          </w:p>
        </w:tc>
      </w:tr>
      <w:tr w:rsidR="00083F98" w:rsidRPr="00083F98" w14:paraId="7B6CA8D3" w14:textId="77777777" w:rsidTr="00083F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2AB0E3F"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30-39</w:t>
            </w:r>
          </w:p>
        </w:tc>
        <w:tc>
          <w:tcPr>
            <w:tcW w:w="0" w:type="auto"/>
            <w:hideMark/>
          </w:tcPr>
          <w:p w14:paraId="274E86F1"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w:t>
            </w:r>
          </w:p>
        </w:tc>
        <w:tc>
          <w:tcPr>
            <w:tcW w:w="0" w:type="auto"/>
            <w:hideMark/>
          </w:tcPr>
          <w:p w14:paraId="0A9B8F5D"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w:t>
            </w:r>
          </w:p>
        </w:tc>
        <w:tc>
          <w:tcPr>
            <w:tcW w:w="0" w:type="auto"/>
            <w:hideMark/>
          </w:tcPr>
          <w:p w14:paraId="0CD7A506"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w:t>
            </w:r>
          </w:p>
        </w:tc>
        <w:tc>
          <w:tcPr>
            <w:tcW w:w="0" w:type="auto"/>
            <w:hideMark/>
          </w:tcPr>
          <w:p w14:paraId="47E2A089"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w:t>
            </w:r>
          </w:p>
        </w:tc>
        <w:tc>
          <w:tcPr>
            <w:tcW w:w="0" w:type="auto"/>
            <w:hideMark/>
          </w:tcPr>
          <w:p w14:paraId="5C357AF0"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100%</w:t>
            </w:r>
          </w:p>
        </w:tc>
        <w:tc>
          <w:tcPr>
            <w:tcW w:w="0" w:type="auto"/>
            <w:hideMark/>
          </w:tcPr>
          <w:p w14:paraId="0ABA3ADB"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251</w:t>
            </w:r>
          </w:p>
        </w:tc>
        <w:tc>
          <w:tcPr>
            <w:tcW w:w="0" w:type="auto"/>
            <w:hideMark/>
          </w:tcPr>
          <w:p w14:paraId="2570AC17"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576</w:t>
            </w:r>
          </w:p>
        </w:tc>
        <w:tc>
          <w:tcPr>
            <w:tcW w:w="0" w:type="auto"/>
            <w:hideMark/>
          </w:tcPr>
          <w:p w14:paraId="6E86C199"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908</w:t>
            </w:r>
          </w:p>
        </w:tc>
        <w:tc>
          <w:tcPr>
            <w:tcW w:w="0" w:type="auto"/>
            <w:hideMark/>
          </w:tcPr>
          <w:p w14:paraId="42BE0337"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1024</w:t>
            </w:r>
          </w:p>
        </w:tc>
        <w:tc>
          <w:tcPr>
            <w:tcW w:w="0" w:type="auto"/>
            <w:hideMark/>
          </w:tcPr>
          <w:p w14:paraId="0E8E3FE8"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1150</w:t>
            </w:r>
          </w:p>
        </w:tc>
        <w:tc>
          <w:tcPr>
            <w:tcW w:w="0" w:type="auto"/>
            <w:hideMark/>
          </w:tcPr>
          <w:p w14:paraId="0236627B"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358%</w:t>
            </w:r>
          </w:p>
        </w:tc>
      </w:tr>
      <w:tr w:rsidR="00083F98" w:rsidRPr="00083F98" w14:paraId="1C2DFA87" w14:textId="77777777" w:rsidTr="0008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295A3F0"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40-49</w:t>
            </w:r>
          </w:p>
        </w:tc>
        <w:tc>
          <w:tcPr>
            <w:tcW w:w="0" w:type="auto"/>
            <w:hideMark/>
          </w:tcPr>
          <w:p w14:paraId="11BEED5B"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w:t>
            </w:r>
          </w:p>
        </w:tc>
        <w:tc>
          <w:tcPr>
            <w:tcW w:w="0" w:type="auto"/>
            <w:hideMark/>
          </w:tcPr>
          <w:p w14:paraId="64A47441"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w:t>
            </w:r>
          </w:p>
        </w:tc>
        <w:tc>
          <w:tcPr>
            <w:tcW w:w="0" w:type="auto"/>
            <w:hideMark/>
          </w:tcPr>
          <w:p w14:paraId="140CC44C"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w:t>
            </w:r>
          </w:p>
        </w:tc>
        <w:tc>
          <w:tcPr>
            <w:tcW w:w="0" w:type="auto"/>
            <w:hideMark/>
          </w:tcPr>
          <w:p w14:paraId="48D3538D"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6</w:t>
            </w:r>
          </w:p>
        </w:tc>
        <w:tc>
          <w:tcPr>
            <w:tcW w:w="0" w:type="auto"/>
            <w:hideMark/>
          </w:tcPr>
          <w:p w14:paraId="6E392E0C"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500%</w:t>
            </w:r>
          </w:p>
        </w:tc>
        <w:tc>
          <w:tcPr>
            <w:tcW w:w="0" w:type="auto"/>
            <w:hideMark/>
          </w:tcPr>
          <w:p w14:paraId="22A87CCB"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160</w:t>
            </w:r>
          </w:p>
        </w:tc>
        <w:tc>
          <w:tcPr>
            <w:tcW w:w="0" w:type="auto"/>
            <w:hideMark/>
          </w:tcPr>
          <w:p w14:paraId="34C84A18"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369</w:t>
            </w:r>
          </w:p>
        </w:tc>
        <w:tc>
          <w:tcPr>
            <w:tcW w:w="0" w:type="auto"/>
            <w:hideMark/>
          </w:tcPr>
          <w:p w14:paraId="02CF461A"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530</w:t>
            </w:r>
          </w:p>
        </w:tc>
        <w:tc>
          <w:tcPr>
            <w:tcW w:w="0" w:type="auto"/>
            <w:hideMark/>
          </w:tcPr>
          <w:p w14:paraId="64C0FC94"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587</w:t>
            </w:r>
          </w:p>
        </w:tc>
        <w:tc>
          <w:tcPr>
            <w:tcW w:w="0" w:type="auto"/>
            <w:hideMark/>
          </w:tcPr>
          <w:p w14:paraId="5AA6AF41"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659</w:t>
            </w:r>
          </w:p>
        </w:tc>
        <w:tc>
          <w:tcPr>
            <w:tcW w:w="0" w:type="auto"/>
            <w:hideMark/>
          </w:tcPr>
          <w:p w14:paraId="479E3A43"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312%</w:t>
            </w:r>
          </w:p>
        </w:tc>
      </w:tr>
      <w:tr w:rsidR="00083F98" w:rsidRPr="00083F98" w14:paraId="1EBC7DCB" w14:textId="77777777" w:rsidTr="00083F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AF0CCE2"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50-59</w:t>
            </w:r>
          </w:p>
        </w:tc>
        <w:tc>
          <w:tcPr>
            <w:tcW w:w="0" w:type="auto"/>
            <w:hideMark/>
          </w:tcPr>
          <w:p w14:paraId="72F0CAA6"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w:t>
            </w:r>
          </w:p>
        </w:tc>
        <w:tc>
          <w:tcPr>
            <w:tcW w:w="0" w:type="auto"/>
            <w:hideMark/>
          </w:tcPr>
          <w:p w14:paraId="1A9B2643"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w:t>
            </w:r>
          </w:p>
        </w:tc>
        <w:tc>
          <w:tcPr>
            <w:tcW w:w="0" w:type="auto"/>
            <w:hideMark/>
          </w:tcPr>
          <w:p w14:paraId="4D1797CE"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7</w:t>
            </w:r>
          </w:p>
        </w:tc>
        <w:tc>
          <w:tcPr>
            <w:tcW w:w="0" w:type="auto"/>
            <w:hideMark/>
          </w:tcPr>
          <w:p w14:paraId="1D278DE8"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8</w:t>
            </w:r>
          </w:p>
        </w:tc>
        <w:tc>
          <w:tcPr>
            <w:tcW w:w="0" w:type="auto"/>
            <w:hideMark/>
          </w:tcPr>
          <w:p w14:paraId="117BCF7B"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167%</w:t>
            </w:r>
          </w:p>
        </w:tc>
        <w:tc>
          <w:tcPr>
            <w:tcW w:w="0" w:type="auto"/>
            <w:hideMark/>
          </w:tcPr>
          <w:p w14:paraId="55D35F20"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158</w:t>
            </w:r>
          </w:p>
        </w:tc>
        <w:tc>
          <w:tcPr>
            <w:tcW w:w="0" w:type="auto"/>
            <w:hideMark/>
          </w:tcPr>
          <w:p w14:paraId="28F5265E"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326</w:t>
            </w:r>
          </w:p>
        </w:tc>
        <w:tc>
          <w:tcPr>
            <w:tcW w:w="0" w:type="auto"/>
            <w:hideMark/>
          </w:tcPr>
          <w:p w14:paraId="5FCDB286"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508</w:t>
            </w:r>
          </w:p>
        </w:tc>
        <w:tc>
          <w:tcPr>
            <w:tcW w:w="0" w:type="auto"/>
            <w:hideMark/>
          </w:tcPr>
          <w:p w14:paraId="7146985E"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594</w:t>
            </w:r>
          </w:p>
        </w:tc>
        <w:tc>
          <w:tcPr>
            <w:tcW w:w="0" w:type="auto"/>
            <w:hideMark/>
          </w:tcPr>
          <w:p w14:paraId="3C50383F"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684</w:t>
            </w:r>
          </w:p>
        </w:tc>
        <w:tc>
          <w:tcPr>
            <w:tcW w:w="0" w:type="auto"/>
            <w:hideMark/>
          </w:tcPr>
          <w:p w14:paraId="6C8AAA84"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333%</w:t>
            </w:r>
          </w:p>
        </w:tc>
      </w:tr>
      <w:tr w:rsidR="00083F98" w:rsidRPr="00083F98" w14:paraId="5D41354B" w14:textId="77777777" w:rsidTr="0008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032A7B1"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60-69</w:t>
            </w:r>
          </w:p>
        </w:tc>
        <w:tc>
          <w:tcPr>
            <w:tcW w:w="0" w:type="auto"/>
            <w:hideMark/>
          </w:tcPr>
          <w:p w14:paraId="72580E0F"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12</w:t>
            </w:r>
          </w:p>
        </w:tc>
        <w:tc>
          <w:tcPr>
            <w:tcW w:w="0" w:type="auto"/>
            <w:hideMark/>
          </w:tcPr>
          <w:p w14:paraId="372050B5"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15</w:t>
            </w:r>
          </w:p>
        </w:tc>
        <w:tc>
          <w:tcPr>
            <w:tcW w:w="0" w:type="auto"/>
            <w:hideMark/>
          </w:tcPr>
          <w:p w14:paraId="6DC501F3"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19</w:t>
            </w:r>
          </w:p>
        </w:tc>
        <w:tc>
          <w:tcPr>
            <w:tcW w:w="0" w:type="auto"/>
            <w:hideMark/>
          </w:tcPr>
          <w:p w14:paraId="39E8AB15"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26</w:t>
            </w:r>
          </w:p>
        </w:tc>
        <w:tc>
          <w:tcPr>
            <w:tcW w:w="0" w:type="auto"/>
            <w:hideMark/>
          </w:tcPr>
          <w:p w14:paraId="2DF81C5F"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117%</w:t>
            </w:r>
          </w:p>
        </w:tc>
        <w:tc>
          <w:tcPr>
            <w:tcW w:w="0" w:type="auto"/>
            <w:hideMark/>
          </w:tcPr>
          <w:p w14:paraId="226536E4"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134</w:t>
            </w:r>
          </w:p>
        </w:tc>
        <w:tc>
          <w:tcPr>
            <w:tcW w:w="0" w:type="auto"/>
            <w:hideMark/>
          </w:tcPr>
          <w:p w14:paraId="1FF77C28"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253</w:t>
            </w:r>
          </w:p>
        </w:tc>
        <w:tc>
          <w:tcPr>
            <w:tcW w:w="0" w:type="auto"/>
            <w:hideMark/>
          </w:tcPr>
          <w:p w14:paraId="7462CE43"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403</w:t>
            </w:r>
          </w:p>
        </w:tc>
        <w:tc>
          <w:tcPr>
            <w:tcW w:w="0" w:type="auto"/>
            <w:hideMark/>
          </w:tcPr>
          <w:p w14:paraId="0D8FE857"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452</w:t>
            </w:r>
          </w:p>
        </w:tc>
        <w:tc>
          <w:tcPr>
            <w:tcW w:w="0" w:type="auto"/>
            <w:hideMark/>
          </w:tcPr>
          <w:p w14:paraId="64D0F8CB"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517</w:t>
            </w:r>
          </w:p>
        </w:tc>
        <w:tc>
          <w:tcPr>
            <w:tcW w:w="0" w:type="auto"/>
            <w:hideMark/>
          </w:tcPr>
          <w:p w14:paraId="3FE55D83"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286%</w:t>
            </w:r>
          </w:p>
        </w:tc>
      </w:tr>
      <w:tr w:rsidR="00083F98" w:rsidRPr="00083F98" w14:paraId="53837355" w14:textId="77777777" w:rsidTr="00083F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9A65BC2"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70-79</w:t>
            </w:r>
          </w:p>
        </w:tc>
        <w:tc>
          <w:tcPr>
            <w:tcW w:w="0" w:type="auto"/>
            <w:hideMark/>
          </w:tcPr>
          <w:p w14:paraId="6E1AEF53"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w:t>
            </w:r>
          </w:p>
        </w:tc>
        <w:tc>
          <w:tcPr>
            <w:tcW w:w="0" w:type="auto"/>
            <w:hideMark/>
          </w:tcPr>
          <w:p w14:paraId="1A5C38CB"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8</w:t>
            </w:r>
          </w:p>
        </w:tc>
        <w:tc>
          <w:tcPr>
            <w:tcW w:w="0" w:type="auto"/>
            <w:hideMark/>
          </w:tcPr>
          <w:p w14:paraId="5EFB7E1D"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13</w:t>
            </w:r>
          </w:p>
        </w:tc>
        <w:tc>
          <w:tcPr>
            <w:tcW w:w="0" w:type="auto"/>
            <w:hideMark/>
          </w:tcPr>
          <w:p w14:paraId="71220B7A"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20</w:t>
            </w:r>
          </w:p>
        </w:tc>
        <w:tc>
          <w:tcPr>
            <w:tcW w:w="0" w:type="auto"/>
            <w:hideMark/>
          </w:tcPr>
          <w:p w14:paraId="421F4B92"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300%</w:t>
            </w:r>
          </w:p>
        </w:tc>
        <w:tc>
          <w:tcPr>
            <w:tcW w:w="0" w:type="auto"/>
            <w:hideMark/>
          </w:tcPr>
          <w:p w14:paraId="45A2EA71"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79</w:t>
            </w:r>
          </w:p>
        </w:tc>
        <w:tc>
          <w:tcPr>
            <w:tcW w:w="0" w:type="auto"/>
            <w:hideMark/>
          </w:tcPr>
          <w:p w14:paraId="1608D90E"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133</w:t>
            </w:r>
          </w:p>
        </w:tc>
        <w:tc>
          <w:tcPr>
            <w:tcW w:w="0" w:type="auto"/>
            <w:hideMark/>
          </w:tcPr>
          <w:p w14:paraId="6C7BA60E"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199</w:t>
            </w:r>
          </w:p>
        </w:tc>
        <w:tc>
          <w:tcPr>
            <w:tcW w:w="0" w:type="auto"/>
            <w:hideMark/>
          </w:tcPr>
          <w:p w14:paraId="5E9E5B39"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216</w:t>
            </w:r>
          </w:p>
        </w:tc>
        <w:tc>
          <w:tcPr>
            <w:tcW w:w="0" w:type="auto"/>
            <w:hideMark/>
          </w:tcPr>
          <w:p w14:paraId="7C1E8886"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246</w:t>
            </w:r>
          </w:p>
        </w:tc>
        <w:tc>
          <w:tcPr>
            <w:tcW w:w="0" w:type="auto"/>
            <w:hideMark/>
          </w:tcPr>
          <w:p w14:paraId="3A686F52"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211%</w:t>
            </w:r>
          </w:p>
        </w:tc>
      </w:tr>
      <w:tr w:rsidR="00083F98" w:rsidRPr="00083F98" w14:paraId="7FD9409C" w14:textId="77777777" w:rsidTr="0008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4EC55D9"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80-89</w:t>
            </w:r>
          </w:p>
        </w:tc>
        <w:tc>
          <w:tcPr>
            <w:tcW w:w="0" w:type="auto"/>
            <w:hideMark/>
          </w:tcPr>
          <w:p w14:paraId="29A65B19"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16</w:t>
            </w:r>
          </w:p>
        </w:tc>
        <w:tc>
          <w:tcPr>
            <w:tcW w:w="0" w:type="auto"/>
            <w:hideMark/>
          </w:tcPr>
          <w:p w14:paraId="6E018BE5"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17</w:t>
            </w:r>
          </w:p>
        </w:tc>
        <w:tc>
          <w:tcPr>
            <w:tcW w:w="0" w:type="auto"/>
            <w:hideMark/>
          </w:tcPr>
          <w:p w14:paraId="4C60CAC6"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21</w:t>
            </w:r>
          </w:p>
        </w:tc>
        <w:tc>
          <w:tcPr>
            <w:tcW w:w="0" w:type="auto"/>
            <w:hideMark/>
          </w:tcPr>
          <w:p w14:paraId="384FEE10"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25</w:t>
            </w:r>
          </w:p>
        </w:tc>
        <w:tc>
          <w:tcPr>
            <w:tcW w:w="0" w:type="auto"/>
            <w:hideMark/>
          </w:tcPr>
          <w:p w14:paraId="6D6CB75F"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56%</w:t>
            </w:r>
          </w:p>
        </w:tc>
        <w:tc>
          <w:tcPr>
            <w:tcW w:w="0" w:type="auto"/>
            <w:hideMark/>
          </w:tcPr>
          <w:p w14:paraId="7EC3B65D"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73</w:t>
            </w:r>
          </w:p>
        </w:tc>
        <w:tc>
          <w:tcPr>
            <w:tcW w:w="0" w:type="auto"/>
            <w:hideMark/>
          </w:tcPr>
          <w:p w14:paraId="3537FB8E"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98</w:t>
            </w:r>
          </w:p>
        </w:tc>
        <w:tc>
          <w:tcPr>
            <w:tcW w:w="0" w:type="auto"/>
            <w:hideMark/>
          </w:tcPr>
          <w:p w14:paraId="3FBA5479"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129</w:t>
            </w:r>
          </w:p>
        </w:tc>
        <w:tc>
          <w:tcPr>
            <w:tcW w:w="0" w:type="auto"/>
            <w:hideMark/>
          </w:tcPr>
          <w:p w14:paraId="6A477049"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135</w:t>
            </w:r>
          </w:p>
        </w:tc>
        <w:tc>
          <w:tcPr>
            <w:tcW w:w="0" w:type="auto"/>
            <w:hideMark/>
          </w:tcPr>
          <w:p w14:paraId="51AB818D"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152</w:t>
            </w:r>
          </w:p>
        </w:tc>
        <w:tc>
          <w:tcPr>
            <w:tcW w:w="0" w:type="auto"/>
            <w:hideMark/>
          </w:tcPr>
          <w:p w14:paraId="3B95E0AE"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108%</w:t>
            </w:r>
          </w:p>
        </w:tc>
      </w:tr>
      <w:tr w:rsidR="00083F98" w:rsidRPr="00083F98" w14:paraId="5935C718" w14:textId="77777777" w:rsidTr="00083F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C9092DD"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90-99</w:t>
            </w:r>
          </w:p>
        </w:tc>
        <w:tc>
          <w:tcPr>
            <w:tcW w:w="0" w:type="auto"/>
            <w:hideMark/>
          </w:tcPr>
          <w:p w14:paraId="615EFB3B"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11</w:t>
            </w:r>
          </w:p>
        </w:tc>
        <w:tc>
          <w:tcPr>
            <w:tcW w:w="0" w:type="auto"/>
            <w:hideMark/>
          </w:tcPr>
          <w:p w14:paraId="13D8E333"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15</w:t>
            </w:r>
          </w:p>
        </w:tc>
        <w:tc>
          <w:tcPr>
            <w:tcW w:w="0" w:type="auto"/>
            <w:hideMark/>
          </w:tcPr>
          <w:p w14:paraId="0290CA10"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16</w:t>
            </w:r>
          </w:p>
        </w:tc>
        <w:tc>
          <w:tcPr>
            <w:tcW w:w="0" w:type="auto"/>
            <w:hideMark/>
          </w:tcPr>
          <w:p w14:paraId="07A47393"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20</w:t>
            </w:r>
          </w:p>
        </w:tc>
        <w:tc>
          <w:tcPr>
            <w:tcW w:w="0" w:type="auto"/>
            <w:hideMark/>
          </w:tcPr>
          <w:p w14:paraId="4AF284E1"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82%</w:t>
            </w:r>
          </w:p>
        </w:tc>
        <w:tc>
          <w:tcPr>
            <w:tcW w:w="0" w:type="auto"/>
            <w:hideMark/>
          </w:tcPr>
          <w:p w14:paraId="54E0783B"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35</w:t>
            </w:r>
          </w:p>
        </w:tc>
        <w:tc>
          <w:tcPr>
            <w:tcW w:w="0" w:type="auto"/>
            <w:hideMark/>
          </w:tcPr>
          <w:p w14:paraId="42714B72"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47</w:t>
            </w:r>
          </w:p>
        </w:tc>
        <w:tc>
          <w:tcPr>
            <w:tcW w:w="0" w:type="auto"/>
            <w:hideMark/>
          </w:tcPr>
          <w:p w14:paraId="0F68305B"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55</w:t>
            </w:r>
          </w:p>
        </w:tc>
        <w:tc>
          <w:tcPr>
            <w:tcW w:w="0" w:type="auto"/>
            <w:hideMark/>
          </w:tcPr>
          <w:p w14:paraId="2B13C1AA"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59</w:t>
            </w:r>
          </w:p>
        </w:tc>
        <w:tc>
          <w:tcPr>
            <w:tcW w:w="0" w:type="auto"/>
            <w:hideMark/>
          </w:tcPr>
          <w:p w14:paraId="2FF96FD9"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74</w:t>
            </w:r>
          </w:p>
        </w:tc>
        <w:tc>
          <w:tcPr>
            <w:tcW w:w="0" w:type="auto"/>
            <w:hideMark/>
          </w:tcPr>
          <w:p w14:paraId="0F44B08D" w14:textId="77777777" w:rsidR="00083F98" w:rsidRPr="00083F98" w:rsidRDefault="00083F98" w:rsidP="008C3BA5">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111%</w:t>
            </w:r>
          </w:p>
        </w:tc>
      </w:tr>
      <w:tr w:rsidR="00083F98" w:rsidRPr="00083F98" w14:paraId="22C4F16B" w14:textId="77777777" w:rsidTr="0008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F23D48F"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100 –</w:t>
            </w:r>
          </w:p>
        </w:tc>
        <w:tc>
          <w:tcPr>
            <w:tcW w:w="0" w:type="auto"/>
            <w:hideMark/>
          </w:tcPr>
          <w:p w14:paraId="1C9E60EC"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w:t>
            </w:r>
          </w:p>
        </w:tc>
        <w:tc>
          <w:tcPr>
            <w:tcW w:w="0" w:type="auto"/>
            <w:hideMark/>
          </w:tcPr>
          <w:p w14:paraId="02F8F1AA"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w:t>
            </w:r>
          </w:p>
        </w:tc>
        <w:tc>
          <w:tcPr>
            <w:tcW w:w="0" w:type="auto"/>
            <w:hideMark/>
          </w:tcPr>
          <w:p w14:paraId="235BB584"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w:t>
            </w:r>
          </w:p>
        </w:tc>
        <w:tc>
          <w:tcPr>
            <w:tcW w:w="0" w:type="auto"/>
            <w:hideMark/>
          </w:tcPr>
          <w:p w14:paraId="104F499F"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4</w:t>
            </w:r>
          </w:p>
        </w:tc>
        <w:tc>
          <w:tcPr>
            <w:tcW w:w="0" w:type="auto"/>
            <w:hideMark/>
          </w:tcPr>
          <w:p w14:paraId="4CC819E0"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33%</w:t>
            </w:r>
          </w:p>
        </w:tc>
        <w:tc>
          <w:tcPr>
            <w:tcW w:w="0" w:type="auto"/>
            <w:hideMark/>
          </w:tcPr>
          <w:p w14:paraId="33957A4C"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w:t>
            </w:r>
          </w:p>
        </w:tc>
        <w:tc>
          <w:tcPr>
            <w:tcW w:w="0" w:type="auto"/>
            <w:hideMark/>
          </w:tcPr>
          <w:p w14:paraId="088179DF"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3</w:t>
            </w:r>
          </w:p>
        </w:tc>
        <w:tc>
          <w:tcPr>
            <w:tcW w:w="0" w:type="auto"/>
            <w:hideMark/>
          </w:tcPr>
          <w:p w14:paraId="6A2D25B1"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4</w:t>
            </w:r>
          </w:p>
        </w:tc>
        <w:tc>
          <w:tcPr>
            <w:tcW w:w="0" w:type="auto"/>
            <w:hideMark/>
          </w:tcPr>
          <w:p w14:paraId="610BF4A7"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10</w:t>
            </w:r>
          </w:p>
        </w:tc>
        <w:tc>
          <w:tcPr>
            <w:tcW w:w="0" w:type="auto"/>
            <w:hideMark/>
          </w:tcPr>
          <w:p w14:paraId="22B5A674"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5</w:t>
            </w:r>
          </w:p>
        </w:tc>
        <w:tc>
          <w:tcPr>
            <w:tcW w:w="0" w:type="auto"/>
            <w:hideMark/>
          </w:tcPr>
          <w:p w14:paraId="2DBF6651" w14:textId="77777777" w:rsidR="00083F98" w:rsidRPr="00083F98" w:rsidRDefault="00083F98" w:rsidP="008C3BA5">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83F98">
              <w:rPr>
                <w:rFonts w:ascii="Calibri" w:eastAsia="Times New Roman" w:hAnsi="Calibri" w:cs="Times New Roman"/>
                <w:color w:val="000000"/>
                <w:sz w:val="20"/>
                <w:szCs w:val="20"/>
              </w:rPr>
              <w:t>67%</w:t>
            </w:r>
          </w:p>
        </w:tc>
      </w:tr>
      <w:tr w:rsidR="00083F98" w:rsidRPr="00083F98" w14:paraId="2B12CDDA" w14:textId="77777777" w:rsidTr="00083F98">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86E4DFD" w14:textId="77777777" w:rsidR="00083F98" w:rsidRPr="00083F98" w:rsidRDefault="00083F98" w:rsidP="008C3BA5">
            <w:pPr>
              <w:keepNext/>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Total</w:t>
            </w:r>
          </w:p>
        </w:tc>
        <w:tc>
          <w:tcPr>
            <w:tcW w:w="0" w:type="auto"/>
            <w:hideMark/>
          </w:tcPr>
          <w:p w14:paraId="3AB2E4FC"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52</w:t>
            </w:r>
          </w:p>
        </w:tc>
        <w:tc>
          <w:tcPr>
            <w:tcW w:w="0" w:type="auto"/>
            <w:hideMark/>
          </w:tcPr>
          <w:p w14:paraId="7C077DF8"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66</w:t>
            </w:r>
          </w:p>
        </w:tc>
        <w:tc>
          <w:tcPr>
            <w:tcW w:w="0" w:type="auto"/>
            <w:hideMark/>
          </w:tcPr>
          <w:p w14:paraId="46789EE9"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84</w:t>
            </w:r>
          </w:p>
        </w:tc>
        <w:tc>
          <w:tcPr>
            <w:tcW w:w="0" w:type="auto"/>
            <w:hideMark/>
          </w:tcPr>
          <w:p w14:paraId="1C752863"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111</w:t>
            </w:r>
          </w:p>
        </w:tc>
        <w:tc>
          <w:tcPr>
            <w:tcW w:w="0" w:type="auto"/>
            <w:hideMark/>
          </w:tcPr>
          <w:p w14:paraId="559B2C57"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113.46%</w:t>
            </w:r>
          </w:p>
        </w:tc>
        <w:tc>
          <w:tcPr>
            <w:tcW w:w="0" w:type="auto"/>
            <w:hideMark/>
          </w:tcPr>
          <w:p w14:paraId="3D00DF4C"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1,129</w:t>
            </w:r>
          </w:p>
        </w:tc>
        <w:tc>
          <w:tcPr>
            <w:tcW w:w="0" w:type="auto"/>
            <w:hideMark/>
          </w:tcPr>
          <w:p w14:paraId="65832A58"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2,687</w:t>
            </w:r>
          </w:p>
        </w:tc>
        <w:tc>
          <w:tcPr>
            <w:tcW w:w="0" w:type="auto"/>
            <w:hideMark/>
          </w:tcPr>
          <w:p w14:paraId="73FC5399"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4,296</w:t>
            </w:r>
          </w:p>
        </w:tc>
        <w:tc>
          <w:tcPr>
            <w:tcW w:w="0" w:type="auto"/>
            <w:hideMark/>
          </w:tcPr>
          <w:p w14:paraId="3220086C"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5,295</w:t>
            </w:r>
          </w:p>
        </w:tc>
        <w:tc>
          <w:tcPr>
            <w:tcW w:w="0" w:type="auto"/>
            <w:hideMark/>
          </w:tcPr>
          <w:p w14:paraId="11EFEA2F" w14:textId="08D3F7D1"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 xml:space="preserve"> 6,319 </w:t>
            </w:r>
          </w:p>
        </w:tc>
        <w:tc>
          <w:tcPr>
            <w:tcW w:w="0" w:type="auto"/>
            <w:hideMark/>
          </w:tcPr>
          <w:p w14:paraId="3BF7C379" w14:textId="77777777" w:rsidR="00083F98" w:rsidRPr="00083F98" w:rsidRDefault="00083F98" w:rsidP="008C3BA5">
            <w:pPr>
              <w:keepNext/>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rPr>
            </w:pPr>
            <w:r w:rsidRPr="00083F98">
              <w:rPr>
                <w:rFonts w:ascii="Calibri" w:eastAsia="Times New Roman" w:hAnsi="Calibri" w:cs="Times New Roman"/>
                <w:color w:val="FFFFFF"/>
                <w:sz w:val="20"/>
                <w:szCs w:val="20"/>
              </w:rPr>
              <w:t>459.70%</w:t>
            </w:r>
          </w:p>
        </w:tc>
      </w:tr>
    </w:tbl>
    <w:p w14:paraId="1BB4C748" w14:textId="31D04D73" w:rsidR="00CE7329" w:rsidRDefault="00CE7329" w:rsidP="00CE7329">
      <w:pPr>
        <w:jc w:val="right"/>
      </w:pPr>
      <w:r w:rsidRPr="006C7744">
        <w:rPr>
          <w:b/>
          <w:bCs/>
          <w:i/>
          <w:iCs/>
        </w:rPr>
        <w:t>Source:</w:t>
      </w:r>
      <w:r w:rsidRPr="006C7744">
        <w:rPr>
          <w:i/>
          <w:iCs/>
        </w:rPr>
        <w:t xml:space="preserve"> Cincinnati Health Department June 1, July 7</w:t>
      </w:r>
      <w:r w:rsidR="00BD6E15">
        <w:rPr>
          <w:i/>
          <w:iCs/>
        </w:rPr>
        <w:t xml:space="preserve">, August </w:t>
      </w:r>
      <w:r w:rsidR="00445CDE">
        <w:rPr>
          <w:i/>
          <w:iCs/>
        </w:rPr>
        <w:t>13</w:t>
      </w:r>
      <w:r w:rsidR="00AF5943">
        <w:rPr>
          <w:i/>
          <w:iCs/>
        </w:rPr>
        <w:t>, September 14-16</w:t>
      </w:r>
      <w:r w:rsidR="00033934">
        <w:rPr>
          <w:i/>
          <w:iCs/>
        </w:rPr>
        <w:t>, October 14</w:t>
      </w:r>
    </w:p>
    <w:p w14:paraId="7CB5513B" w14:textId="749D5696" w:rsidR="006629E0" w:rsidRDefault="006629E0" w:rsidP="004F270C">
      <w:pPr>
        <w:pStyle w:val="Heading2"/>
      </w:pPr>
      <w:r>
        <w:lastRenderedPageBreak/>
        <w:t>Sex</w:t>
      </w:r>
    </w:p>
    <w:p w14:paraId="7894DAF1" w14:textId="05CC6410" w:rsidR="006629E0" w:rsidRPr="004E6E04" w:rsidRDefault="006629E0">
      <w:r w:rsidRPr="004E6E04">
        <w:t xml:space="preserve">As of </w:t>
      </w:r>
      <w:r w:rsidR="00BE3B92" w:rsidRPr="004E6E04">
        <w:t>October</w:t>
      </w:r>
      <w:r w:rsidR="008A750A" w:rsidRPr="004E6E04">
        <w:t xml:space="preserve"> 14</w:t>
      </w:r>
      <w:r w:rsidRPr="004E6E04">
        <w:t xml:space="preserve">, there have been </w:t>
      </w:r>
      <w:r w:rsidR="00F36FCB" w:rsidRPr="004E6E04">
        <w:t>2,8</w:t>
      </w:r>
      <w:r w:rsidR="008A750A" w:rsidRPr="004E6E04">
        <w:t>94</w:t>
      </w:r>
      <w:r w:rsidRPr="004E6E04">
        <w:t xml:space="preserve"> confirmed cases </w:t>
      </w:r>
      <w:r w:rsidR="004F270C" w:rsidRPr="004E6E04">
        <w:t>among</w:t>
      </w:r>
      <w:r w:rsidRPr="004E6E04">
        <w:t xml:space="preserve"> males and </w:t>
      </w:r>
      <w:r w:rsidR="00F36FCB" w:rsidRPr="004E6E04">
        <w:t>3,432</w:t>
      </w:r>
      <w:r w:rsidRPr="004E6E04">
        <w:t xml:space="preserve"> among females.</w:t>
      </w:r>
      <w:r w:rsidR="00BE3B92" w:rsidRPr="004E6E04">
        <w:t xml:space="preserve">  </w:t>
      </w:r>
      <w:r w:rsidR="004E6E04" w:rsidRPr="004E6E04">
        <w:t xml:space="preserve">The deaths were 55 </w:t>
      </w:r>
      <w:proofErr w:type="gramStart"/>
      <w:r w:rsidR="004E6E04" w:rsidRPr="004E6E04">
        <w:t>m</w:t>
      </w:r>
      <w:r w:rsidR="00BE3B92" w:rsidRPr="004E6E04">
        <w:t>ale</w:t>
      </w:r>
      <w:proofErr w:type="gramEnd"/>
      <w:r w:rsidR="004E6E04" w:rsidRPr="004E6E04">
        <w:t xml:space="preserve"> and 56 f</w:t>
      </w:r>
      <w:r w:rsidR="00BE3B92" w:rsidRPr="004E6E04">
        <w:t>emale.</w:t>
      </w:r>
    </w:p>
    <w:p w14:paraId="7DB57EF1" w14:textId="24543D2C" w:rsidR="006629E0" w:rsidRDefault="004F270C" w:rsidP="00D117AE">
      <w:pPr>
        <w:pStyle w:val="Heading2"/>
      </w:pPr>
      <w:r>
        <w:t>Neighborhood</w:t>
      </w:r>
      <w:r w:rsidR="006629E0">
        <w:t xml:space="preserve"> Distribution</w:t>
      </w:r>
    </w:p>
    <w:p w14:paraId="172078C9" w14:textId="079EA375" w:rsidR="006629E0" w:rsidRDefault="006629E0" w:rsidP="00D117AE">
      <w:pPr>
        <w:keepLines/>
      </w:pPr>
      <w:r w:rsidRPr="0007746A">
        <w:rPr>
          <w:b/>
          <w:bCs/>
        </w:rPr>
        <w:t xml:space="preserve">Table </w:t>
      </w:r>
      <w:r w:rsidR="0047010A" w:rsidRPr="0007746A">
        <w:rPr>
          <w:b/>
          <w:bCs/>
        </w:rPr>
        <w:t>4</w:t>
      </w:r>
      <w:r>
        <w:t xml:space="preserve"> shows the neighborhoods with the highest numbers of cases.  These </w:t>
      </w:r>
      <w:r w:rsidR="00E177D5">
        <w:t xml:space="preserve">eight </w:t>
      </w:r>
      <w:r>
        <w:t>neighborhoods have large populations but they also have minority p</w:t>
      </w:r>
      <w:r w:rsidR="0096706C">
        <w:t>o</w:t>
      </w:r>
      <w:r>
        <w:t xml:space="preserve">pulations, significant poverty rates and high numbers of cases per capita.  </w:t>
      </w:r>
      <w:r w:rsidR="004E6E04">
        <w:t xml:space="preserve">Except for Avondale, </w:t>
      </w:r>
      <w:r w:rsidR="008A750A">
        <w:t>CUF</w:t>
      </w:r>
      <w:r w:rsidR="004E6E04">
        <w:t xml:space="preserve"> and Oakley</w:t>
      </w:r>
      <w:r w:rsidR="008A750A">
        <w:t>, t</w:t>
      </w:r>
      <w:r>
        <w:t xml:space="preserve">hey are all on the west side of the city.  </w:t>
      </w:r>
      <w:r w:rsidR="008A750A">
        <w:t xml:space="preserve">As of </w:t>
      </w:r>
      <w:r w:rsidR="004E6E04">
        <w:t>October</w:t>
      </w:r>
      <w:r w:rsidR="008A750A">
        <w:t xml:space="preserve"> 14, these </w:t>
      </w:r>
      <w:r w:rsidR="004E6E04">
        <w:t>eight</w:t>
      </w:r>
      <w:r w:rsidR="008A750A">
        <w:t xml:space="preserve"> neighborhoods had 4</w:t>
      </w:r>
      <w:r w:rsidR="004E6E04">
        <w:t>7.7</w:t>
      </w:r>
      <w:r w:rsidR="008A750A">
        <w:t xml:space="preserve">% of Cincinnati’s confirmed Covid-19 cases.  </w:t>
      </w:r>
      <w:r w:rsidRPr="0007746A">
        <w:rPr>
          <w:b/>
          <w:bCs/>
        </w:rPr>
        <w:t xml:space="preserve">Table </w:t>
      </w:r>
      <w:r w:rsidR="0047010A" w:rsidRPr="0007746A">
        <w:rPr>
          <w:b/>
          <w:bCs/>
        </w:rPr>
        <w:t>4</w:t>
      </w:r>
      <w:r>
        <w:t xml:space="preserve"> also shows some of the </w:t>
      </w:r>
      <w:r w:rsidR="00B57676">
        <w:t xml:space="preserve">other </w:t>
      </w:r>
      <w:r>
        <w:t xml:space="preserve">neighborhoods with largest increases in confirmed cases between June 1 and </w:t>
      </w:r>
      <w:r w:rsidR="004E6E04">
        <w:t>October</w:t>
      </w:r>
      <w:r w:rsidR="00B57676">
        <w:t xml:space="preserve"> 14</w:t>
      </w:r>
      <w:r>
        <w:t xml:space="preserve">.    Those </w:t>
      </w:r>
      <w:r w:rsidR="00E177D5">
        <w:t>twelve</w:t>
      </w:r>
      <w:r>
        <w:t xml:space="preserve"> neighborhoods</w:t>
      </w:r>
      <w:r w:rsidR="00B57676">
        <w:t xml:space="preserve"> are mostly on the East Side and they all have more than 100 confirmed cases</w:t>
      </w:r>
      <w:r>
        <w:t>.</w:t>
      </w:r>
    </w:p>
    <w:tbl>
      <w:tblPr>
        <w:tblStyle w:val="GridTable5Dark-Accent5"/>
        <w:tblW w:w="5000" w:type="pct"/>
        <w:tblLook w:val="0420" w:firstRow="1" w:lastRow="0" w:firstColumn="0" w:lastColumn="0" w:noHBand="0" w:noVBand="1"/>
      </w:tblPr>
      <w:tblGrid>
        <w:gridCol w:w="1287"/>
        <w:gridCol w:w="613"/>
        <w:gridCol w:w="560"/>
        <w:gridCol w:w="742"/>
        <w:gridCol w:w="726"/>
        <w:gridCol w:w="714"/>
        <w:gridCol w:w="1353"/>
        <w:gridCol w:w="613"/>
        <w:gridCol w:w="560"/>
        <w:gridCol w:w="742"/>
        <w:gridCol w:w="726"/>
        <w:gridCol w:w="714"/>
      </w:tblGrid>
      <w:tr w:rsidR="00640544" w:rsidRPr="008C3BA5" w14:paraId="72B78600" w14:textId="77777777" w:rsidTr="00031DE2">
        <w:trPr>
          <w:cnfStyle w:val="100000000000" w:firstRow="1" w:lastRow="0" w:firstColumn="0" w:lastColumn="0" w:oddVBand="0" w:evenVBand="0" w:oddHBand="0" w:evenHBand="0" w:firstRowFirstColumn="0" w:firstRowLastColumn="0" w:lastRowFirstColumn="0" w:lastRowLastColumn="0"/>
          <w:trHeight w:val="300"/>
        </w:trPr>
        <w:tc>
          <w:tcPr>
            <w:tcW w:w="5000" w:type="pct"/>
            <w:gridSpan w:val="12"/>
            <w:noWrap/>
          </w:tcPr>
          <w:p w14:paraId="35BB6FA9" w14:textId="3AE2A8BE" w:rsidR="00640544" w:rsidRPr="008C3BA5" w:rsidRDefault="00640544" w:rsidP="008C3BA5">
            <w:pPr>
              <w:keepNext/>
              <w:jc w:val="center"/>
              <w:rPr>
                <w:rFonts w:ascii="Calibri" w:eastAsia="Times New Roman" w:hAnsi="Calibri" w:cs="Calibri"/>
                <w:b w:val="0"/>
                <w:bCs w:val="0"/>
                <w:color w:val="FFFFFF"/>
                <w:sz w:val="20"/>
              </w:rPr>
            </w:pPr>
            <w:r>
              <w:rPr>
                <w:rFonts w:ascii="Calibri" w:eastAsia="Times New Roman" w:hAnsi="Calibri" w:cs="Calibri"/>
                <w:b w:val="0"/>
                <w:bCs w:val="0"/>
                <w:color w:val="FFFFFF"/>
                <w:sz w:val="20"/>
              </w:rPr>
              <w:t>Table 4: Hot Spots</w:t>
            </w:r>
          </w:p>
        </w:tc>
      </w:tr>
      <w:tr w:rsidR="008C3BA5" w:rsidRPr="008C3BA5" w14:paraId="65C21657" w14:textId="77777777" w:rsidTr="00031DE2">
        <w:trPr>
          <w:cnfStyle w:val="000000100000" w:firstRow="0" w:lastRow="0" w:firstColumn="0" w:lastColumn="0" w:oddVBand="0" w:evenVBand="0" w:oddHBand="1" w:evenHBand="0" w:firstRowFirstColumn="0" w:firstRowLastColumn="0" w:lastRowFirstColumn="0" w:lastRowLastColumn="0"/>
          <w:trHeight w:val="300"/>
        </w:trPr>
        <w:tc>
          <w:tcPr>
            <w:tcW w:w="2483" w:type="pct"/>
            <w:gridSpan w:val="6"/>
            <w:shd w:val="clear" w:color="auto" w:fill="5B9BD5" w:themeFill="accent5"/>
            <w:noWrap/>
            <w:hideMark/>
          </w:tcPr>
          <w:p w14:paraId="542D77D2" w14:textId="106F524B" w:rsidR="008C3BA5" w:rsidRPr="008C3BA5" w:rsidRDefault="008C3BA5" w:rsidP="008C3BA5">
            <w:pPr>
              <w:keepNext/>
              <w:jc w:val="center"/>
              <w:rPr>
                <w:rFonts w:ascii="Calibri" w:eastAsia="Times New Roman" w:hAnsi="Calibri" w:cs="Calibri"/>
                <w:b/>
                <w:bCs/>
                <w:color w:val="FFFFFF"/>
                <w:sz w:val="20"/>
              </w:rPr>
            </w:pPr>
            <w:r w:rsidRPr="008C3BA5">
              <w:rPr>
                <w:rFonts w:ascii="Calibri" w:eastAsia="Times New Roman" w:hAnsi="Calibri" w:cs="Calibri"/>
                <w:b/>
                <w:bCs/>
                <w:color w:val="FFFFFF"/>
                <w:sz w:val="20"/>
              </w:rPr>
              <w:t>Large Number of Cases</w:t>
            </w:r>
          </w:p>
        </w:tc>
        <w:tc>
          <w:tcPr>
            <w:tcW w:w="2517" w:type="pct"/>
            <w:gridSpan w:val="6"/>
            <w:shd w:val="clear" w:color="auto" w:fill="5B9BD5" w:themeFill="accent5"/>
            <w:noWrap/>
            <w:hideMark/>
          </w:tcPr>
          <w:p w14:paraId="79BF7132" w14:textId="77777777" w:rsidR="00640544" w:rsidRPr="00640544" w:rsidRDefault="008C3BA5" w:rsidP="008C3BA5">
            <w:pPr>
              <w:keepNext/>
              <w:jc w:val="center"/>
              <w:rPr>
                <w:rFonts w:ascii="Calibri" w:eastAsia="Times New Roman" w:hAnsi="Calibri" w:cs="Calibri"/>
                <w:color w:val="FFFFFF"/>
                <w:sz w:val="20"/>
              </w:rPr>
            </w:pPr>
            <w:r w:rsidRPr="008C3BA5">
              <w:rPr>
                <w:rFonts w:ascii="Calibri" w:eastAsia="Times New Roman" w:hAnsi="Calibri" w:cs="Calibri"/>
                <w:b/>
                <w:bCs/>
                <w:color w:val="FFFFFF"/>
                <w:sz w:val="20"/>
              </w:rPr>
              <w:t>Other Neighborhoods with over 100 Cases</w:t>
            </w:r>
          </w:p>
          <w:p w14:paraId="66F52610" w14:textId="411FBDC1" w:rsidR="008C3BA5" w:rsidRPr="008C3BA5" w:rsidRDefault="008C3BA5" w:rsidP="008C3BA5">
            <w:pPr>
              <w:keepNext/>
              <w:jc w:val="center"/>
              <w:rPr>
                <w:rFonts w:ascii="Calibri" w:eastAsia="Times New Roman" w:hAnsi="Calibri" w:cs="Calibri"/>
                <w:b/>
                <w:bCs/>
                <w:color w:val="FFFFFF"/>
                <w:sz w:val="20"/>
              </w:rPr>
            </w:pPr>
            <w:r w:rsidRPr="008C3BA5">
              <w:rPr>
                <w:rFonts w:ascii="Calibri" w:eastAsia="Times New Roman" w:hAnsi="Calibri" w:cs="Calibri"/>
                <w:b/>
                <w:bCs/>
                <w:color w:val="FFFFFF"/>
                <w:sz w:val="20"/>
              </w:rPr>
              <w:t xml:space="preserve"> as of October 14</w:t>
            </w:r>
          </w:p>
        </w:tc>
      </w:tr>
      <w:tr w:rsidR="00031DE2" w:rsidRPr="008C3BA5" w14:paraId="485BDB7A" w14:textId="77777777" w:rsidTr="00031DE2">
        <w:trPr>
          <w:trHeight w:val="300"/>
        </w:trPr>
        <w:tc>
          <w:tcPr>
            <w:tcW w:w="689" w:type="pct"/>
            <w:noWrap/>
            <w:hideMark/>
          </w:tcPr>
          <w:p w14:paraId="61E00256" w14:textId="77777777" w:rsidR="008C3BA5" w:rsidRPr="008C3BA5" w:rsidRDefault="008C3BA5" w:rsidP="008C3BA5">
            <w:pPr>
              <w:keepNext/>
              <w:jc w:val="center"/>
              <w:rPr>
                <w:rFonts w:ascii="Calibri" w:eastAsia="Times New Roman" w:hAnsi="Calibri" w:cs="Calibri"/>
                <w:b/>
                <w:bCs/>
                <w:color w:val="FFFFFF"/>
                <w:sz w:val="20"/>
              </w:rPr>
            </w:pPr>
          </w:p>
        </w:tc>
        <w:tc>
          <w:tcPr>
            <w:tcW w:w="328" w:type="pct"/>
            <w:noWrap/>
            <w:hideMark/>
          </w:tcPr>
          <w:p w14:paraId="69C68B4F" w14:textId="77660254"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1-Jun</w:t>
            </w:r>
          </w:p>
        </w:tc>
        <w:tc>
          <w:tcPr>
            <w:tcW w:w="299" w:type="pct"/>
            <w:noWrap/>
            <w:hideMark/>
          </w:tcPr>
          <w:p w14:paraId="00DB4F63" w14:textId="46E89356"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7-Jul</w:t>
            </w:r>
          </w:p>
        </w:tc>
        <w:tc>
          <w:tcPr>
            <w:tcW w:w="397" w:type="pct"/>
            <w:noWrap/>
            <w:hideMark/>
          </w:tcPr>
          <w:p w14:paraId="78813BD7" w14:textId="1B9FBA26"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13-Aug</w:t>
            </w:r>
          </w:p>
        </w:tc>
        <w:tc>
          <w:tcPr>
            <w:tcW w:w="388" w:type="pct"/>
            <w:noWrap/>
            <w:hideMark/>
          </w:tcPr>
          <w:p w14:paraId="10E18DC3" w14:textId="380706B6"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14-Sep</w:t>
            </w:r>
          </w:p>
        </w:tc>
        <w:tc>
          <w:tcPr>
            <w:tcW w:w="382" w:type="pct"/>
            <w:noWrap/>
            <w:hideMark/>
          </w:tcPr>
          <w:p w14:paraId="38082B03" w14:textId="65B2056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14-Oct</w:t>
            </w:r>
          </w:p>
        </w:tc>
        <w:tc>
          <w:tcPr>
            <w:tcW w:w="724" w:type="pct"/>
            <w:noWrap/>
            <w:hideMark/>
          </w:tcPr>
          <w:p w14:paraId="2C66DC45"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 </w:t>
            </w:r>
          </w:p>
        </w:tc>
        <w:tc>
          <w:tcPr>
            <w:tcW w:w="328" w:type="pct"/>
            <w:noWrap/>
            <w:hideMark/>
          </w:tcPr>
          <w:p w14:paraId="011D162B" w14:textId="7C6327F4"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1-Jun</w:t>
            </w:r>
          </w:p>
        </w:tc>
        <w:tc>
          <w:tcPr>
            <w:tcW w:w="299" w:type="pct"/>
            <w:noWrap/>
            <w:hideMark/>
          </w:tcPr>
          <w:p w14:paraId="53E80D97" w14:textId="7A050BBA"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7-Jul</w:t>
            </w:r>
          </w:p>
        </w:tc>
        <w:tc>
          <w:tcPr>
            <w:tcW w:w="397" w:type="pct"/>
            <w:noWrap/>
            <w:hideMark/>
          </w:tcPr>
          <w:p w14:paraId="085E4CE0" w14:textId="1F9F153D"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13-Aug</w:t>
            </w:r>
          </w:p>
        </w:tc>
        <w:tc>
          <w:tcPr>
            <w:tcW w:w="388" w:type="pct"/>
            <w:noWrap/>
            <w:hideMark/>
          </w:tcPr>
          <w:p w14:paraId="24B7E559" w14:textId="1DE7190B"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14-Sep</w:t>
            </w:r>
          </w:p>
        </w:tc>
        <w:tc>
          <w:tcPr>
            <w:tcW w:w="382" w:type="pct"/>
            <w:noWrap/>
            <w:hideMark/>
          </w:tcPr>
          <w:p w14:paraId="3DE6551C" w14:textId="6DE20211"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14-Oct</w:t>
            </w:r>
          </w:p>
        </w:tc>
      </w:tr>
      <w:tr w:rsidR="00031DE2" w:rsidRPr="008C3BA5" w14:paraId="341B837D" w14:textId="77777777" w:rsidTr="00031DE2">
        <w:trPr>
          <w:cnfStyle w:val="000000100000" w:firstRow="0" w:lastRow="0" w:firstColumn="0" w:lastColumn="0" w:oddVBand="0" w:evenVBand="0" w:oddHBand="1" w:evenHBand="0" w:firstRowFirstColumn="0" w:firstRowLastColumn="0" w:lastRowFirstColumn="0" w:lastRowLastColumn="0"/>
          <w:trHeight w:val="290"/>
        </w:trPr>
        <w:tc>
          <w:tcPr>
            <w:tcW w:w="689" w:type="pct"/>
            <w:noWrap/>
            <w:hideMark/>
          </w:tcPr>
          <w:p w14:paraId="06FFBC07"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Westwood</w:t>
            </w:r>
          </w:p>
        </w:tc>
        <w:tc>
          <w:tcPr>
            <w:tcW w:w="328" w:type="pct"/>
            <w:noWrap/>
            <w:hideMark/>
          </w:tcPr>
          <w:p w14:paraId="1BDD10D1"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209</w:t>
            </w:r>
          </w:p>
        </w:tc>
        <w:tc>
          <w:tcPr>
            <w:tcW w:w="299" w:type="pct"/>
            <w:noWrap/>
            <w:hideMark/>
          </w:tcPr>
          <w:p w14:paraId="0ADAE537"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451</w:t>
            </w:r>
          </w:p>
        </w:tc>
        <w:tc>
          <w:tcPr>
            <w:tcW w:w="397" w:type="pct"/>
            <w:noWrap/>
            <w:hideMark/>
          </w:tcPr>
          <w:p w14:paraId="0A9826CE"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617</w:t>
            </w:r>
          </w:p>
        </w:tc>
        <w:tc>
          <w:tcPr>
            <w:tcW w:w="388" w:type="pct"/>
            <w:noWrap/>
            <w:hideMark/>
          </w:tcPr>
          <w:p w14:paraId="0A156CAE"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692</w:t>
            </w:r>
          </w:p>
        </w:tc>
        <w:tc>
          <w:tcPr>
            <w:tcW w:w="382" w:type="pct"/>
            <w:noWrap/>
            <w:hideMark/>
          </w:tcPr>
          <w:p w14:paraId="72F6F965"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757</w:t>
            </w:r>
          </w:p>
        </w:tc>
        <w:tc>
          <w:tcPr>
            <w:tcW w:w="724" w:type="pct"/>
            <w:noWrap/>
            <w:hideMark/>
          </w:tcPr>
          <w:p w14:paraId="07CA7BA6"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Evanston</w:t>
            </w:r>
          </w:p>
        </w:tc>
        <w:tc>
          <w:tcPr>
            <w:tcW w:w="328" w:type="pct"/>
            <w:noWrap/>
            <w:hideMark/>
          </w:tcPr>
          <w:p w14:paraId="7DF64EC4"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19</w:t>
            </w:r>
          </w:p>
        </w:tc>
        <w:tc>
          <w:tcPr>
            <w:tcW w:w="299" w:type="pct"/>
            <w:noWrap/>
            <w:hideMark/>
          </w:tcPr>
          <w:p w14:paraId="6D38AFA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61</w:t>
            </w:r>
          </w:p>
        </w:tc>
        <w:tc>
          <w:tcPr>
            <w:tcW w:w="397" w:type="pct"/>
            <w:noWrap/>
            <w:hideMark/>
          </w:tcPr>
          <w:p w14:paraId="32B6D290"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106</w:t>
            </w:r>
          </w:p>
        </w:tc>
        <w:tc>
          <w:tcPr>
            <w:tcW w:w="388" w:type="pct"/>
            <w:noWrap/>
            <w:hideMark/>
          </w:tcPr>
          <w:p w14:paraId="2AB8A9C4"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127</w:t>
            </w:r>
          </w:p>
        </w:tc>
        <w:tc>
          <w:tcPr>
            <w:tcW w:w="382" w:type="pct"/>
            <w:noWrap/>
            <w:hideMark/>
          </w:tcPr>
          <w:p w14:paraId="09559AAD"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181</w:t>
            </w:r>
          </w:p>
        </w:tc>
      </w:tr>
      <w:tr w:rsidR="00031DE2" w:rsidRPr="008C3BA5" w14:paraId="1A8CE3DD" w14:textId="77777777" w:rsidTr="00031DE2">
        <w:trPr>
          <w:trHeight w:val="290"/>
        </w:trPr>
        <w:tc>
          <w:tcPr>
            <w:tcW w:w="689" w:type="pct"/>
            <w:noWrap/>
            <w:hideMark/>
          </w:tcPr>
          <w:p w14:paraId="1E90256F"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CUF</w:t>
            </w:r>
          </w:p>
        </w:tc>
        <w:tc>
          <w:tcPr>
            <w:tcW w:w="328" w:type="pct"/>
            <w:noWrap/>
            <w:hideMark/>
          </w:tcPr>
          <w:p w14:paraId="1AF8D0B1"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17</w:t>
            </w:r>
          </w:p>
        </w:tc>
        <w:tc>
          <w:tcPr>
            <w:tcW w:w="299" w:type="pct"/>
            <w:noWrap/>
            <w:hideMark/>
          </w:tcPr>
          <w:p w14:paraId="566AE713"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43</w:t>
            </w:r>
          </w:p>
        </w:tc>
        <w:tc>
          <w:tcPr>
            <w:tcW w:w="397" w:type="pct"/>
            <w:noWrap/>
            <w:hideMark/>
          </w:tcPr>
          <w:p w14:paraId="5E2F9666"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128</w:t>
            </w:r>
          </w:p>
        </w:tc>
        <w:tc>
          <w:tcPr>
            <w:tcW w:w="388" w:type="pct"/>
            <w:noWrap/>
            <w:hideMark/>
          </w:tcPr>
          <w:p w14:paraId="62A9A05E"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376</w:t>
            </w:r>
          </w:p>
        </w:tc>
        <w:tc>
          <w:tcPr>
            <w:tcW w:w="382" w:type="pct"/>
            <w:noWrap/>
            <w:hideMark/>
          </w:tcPr>
          <w:p w14:paraId="207A23C5"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583</w:t>
            </w:r>
          </w:p>
        </w:tc>
        <w:tc>
          <w:tcPr>
            <w:tcW w:w="724" w:type="pct"/>
            <w:noWrap/>
            <w:hideMark/>
          </w:tcPr>
          <w:p w14:paraId="08BB0C72"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Downtown</w:t>
            </w:r>
          </w:p>
        </w:tc>
        <w:tc>
          <w:tcPr>
            <w:tcW w:w="328" w:type="pct"/>
            <w:noWrap/>
            <w:hideMark/>
          </w:tcPr>
          <w:p w14:paraId="0AD916A8"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9</w:t>
            </w:r>
          </w:p>
        </w:tc>
        <w:tc>
          <w:tcPr>
            <w:tcW w:w="299" w:type="pct"/>
            <w:noWrap/>
            <w:hideMark/>
          </w:tcPr>
          <w:p w14:paraId="4546E91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38</w:t>
            </w:r>
          </w:p>
        </w:tc>
        <w:tc>
          <w:tcPr>
            <w:tcW w:w="397" w:type="pct"/>
            <w:noWrap/>
            <w:hideMark/>
          </w:tcPr>
          <w:p w14:paraId="4C6840A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105</w:t>
            </w:r>
          </w:p>
        </w:tc>
        <w:tc>
          <w:tcPr>
            <w:tcW w:w="388" w:type="pct"/>
            <w:noWrap/>
            <w:hideMark/>
          </w:tcPr>
          <w:p w14:paraId="56858D87"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119</w:t>
            </w:r>
          </w:p>
        </w:tc>
        <w:tc>
          <w:tcPr>
            <w:tcW w:w="382" w:type="pct"/>
            <w:noWrap/>
            <w:hideMark/>
          </w:tcPr>
          <w:p w14:paraId="5C9350B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166</w:t>
            </w:r>
          </w:p>
        </w:tc>
      </w:tr>
      <w:tr w:rsidR="00031DE2" w:rsidRPr="008C3BA5" w14:paraId="67D72535" w14:textId="77777777" w:rsidTr="00031DE2">
        <w:trPr>
          <w:cnfStyle w:val="000000100000" w:firstRow="0" w:lastRow="0" w:firstColumn="0" w:lastColumn="0" w:oddVBand="0" w:evenVBand="0" w:oddHBand="1" w:evenHBand="0" w:firstRowFirstColumn="0" w:firstRowLastColumn="0" w:lastRowFirstColumn="0" w:lastRowLastColumn="0"/>
          <w:trHeight w:val="290"/>
        </w:trPr>
        <w:tc>
          <w:tcPr>
            <w:tcW w:w="689" w:type="pct"/>
            <w:noWrap/>
            <w:hideMark/>
          </w:tcPr>
          <w:p w14:paraId="2A0E452A"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West Price Hill</w:t>
            </w:r>
          </w:p>
        </w:tc>
        <w:tc>
          <w:tcPr>
            <w:tcW w:w="328" w:type="pct"/>
            <w:noWrap/>
            <w:hideMark/>
          </w:tcPr>
          <w:p w14:paraId="008038B9"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114</w:t>
            </w:r>
          </w:p>
        </w:tc>
        <w:tc>
          <w:tcPr>
            <w:tcW w:w="299" w:type="pct"/>
            <w:noWrap/>
            <w:hideMark/>
          </w:tcPr>
          <w:p w14:paraId="520CCA3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198</w:t>
            </w:r>
          </w:p>
        </w:tc>
        <w:tc>
          <w:tcPr>
            <w:tcW w:w="397" w:type="pct"/>
            <w:noWrap/>
            <w:hideMark/>
          </w:tcPr>
          <w:p w14:paraId="4FB6F5AD"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292</w:t>
            </w:r>
          </w:p>
        </w:tc>
        <w:tc>
          <w:tcPr>
            <w:tcW w:w="388" w:type="pct"/>
            <w:noWrap/>
            <w:hideMark/>
          </w:tcPr>
          <w:p w14:paraId="38FBD4A6"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325</w:t>
            </w:r>
          </w:p>
        </w:tc>
        <w:tc>
          <w:tcPr>
            <w:tcW w:w="382" w:type="pct"/>
            <w:noWrap/>
            <w:hideMark/>
          </w:tcPr>
          <w:p w14:paraId="3019C63D"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384</w:t>
            </w:r>
          </w:p>
        </w:tc>
        <w:tc>
          <w:tcPr>
            <w:tcW w:w="724" w:type="pct"/>
            <w:noWrap/>
            <w:hideMark/>
          </w:tcPr>
          <w:p w14:paraId="67D6D525"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Madisonville</w:t>
            </w:r>
          </w:p>
        </w:tc>
        <w:tc>
          <w:tcPr>
            <w:tcW w:w="328" w:type="pct"/>
            <w:noWrap/>
            <w:hideMark/>
          </w:tcPr>
          <w:p w14:paraId="37BBD51E"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18</w:t>
            </w:r>
          </w:p>
        </w:tc>
        <w:tc>
          <w:tcPr>
            <w:tcW w:w="299" w:type="pct"/>
            <w:noWrap/>
            <w:hideMark/>
          </w:tcPr>
          <w:p w14:paraId="3BEBB039"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56</w:t>
            </w:r>
          </w:p>
        </w:tc>
        <w:tc>
          <w:tcPr>
            <w:tcW w:w="397" w:type="pct"/>
            <w:noWrap/>
            <w:hideMark/>
          </w:tcPr>
          <w:p w14:paraId="5BD449C1"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108</w:t>
            </w:r>
          </w:p>
        </w:tc>
        <w:tc>
          <w:tcPr>
            <w:tcW w:w="388" w:type="pct"/>
            <w:noWrap/>
            <w:hideMark/>
          </w:tcPr>
          <w:p w14:paraId="7A1E6327"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118</w:t>
            </w:r>
          </w:p>
        </w:tc>
        <w:tc>
          <w:tcPr>
            <w:tcW w:w="382" w:type="pct"/>
            <w:noWrap/>
            <w:hideMark/>
          </w:tcPr>
          <w:p w14:paraId="7ACEBA89"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159</w:t>
            </w:r>
          </w:p>
        </w:tc>
      </w:tr>
      <w:tr w:rsidR="00031DE2" w:rsidRPr="008C3BA5" w14:paraId="36C6617B" w14:textId="77777777" w:rsidTr="00031DE2">
        <w:trPr>
          <w:trHeight w:val="290"/>
        </w:trPr>
        <w:tc>
          <w:tcPr>
            <w:tcW w:w="689" w:type="pct"/>
            <w:noWrap/>
            <w:hideMark/>
          </w:tcPr>
          <w:p w14:paraId="43BB63CE"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East Price Hill</w:t>
            </w:r>
          </w:p>
        </w:tc>
        <w:tc>
          <w:tcPr>
            <w:tcW w:w="328" w:type="pct"/>
            <w:noWrap/>
            <w:hideMark/>
          </w:tcPr>
          <w:p w14:paraId="06F0B1D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154</w:t>
            </w:r>
          </w:p>
        </w:tc>
        <w:tc>
          <w:tcPr>
            <w:tcW w:w="299" w:type="pct"/>
            <w:noWrap/>
            <w:hideMark/>
          </w:tcPr>
          <w:p w14:paraId="5AE3ADC5"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224</w:t>
            </w:r>
          </w:p>
        </w:tc>
        <w:tc>
          <w:tcPr>
            <w:tcW w:w="397" w:type="pct"/>
            <w:noWrap/>
            <w:hideMark/>
          </w:tcPr>
          <w:p w14:paraId="6B8E3388"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272</w:t>
            </w:r>
          </w:p>
        </w:tc>
        <w:tc>
          <w:tcPr>
            <w:tcW w:w="388" w:type="pct"/>
            <w:noWrap/>
            <w:hideMark/>
          </w:tcPr>
          <w:p w14:paraId="495BE7DC"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293</w:t>
            </w:r>
          </w:p>
        </w:tc>
        <w:tc>
          <w:tcPr>
            <w:tcW w:w="382" w:type="pct"/>
            <w:noWrap/>
            <w:hideMark/>
          </w:tcPr>
          <w:p w14:paraId="65DABBB6"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312</w:t>
            </w:r>
          </w:p>
        </w:tc>
        <w:tc>
          <w:tcPr>
            <w:tcW w:w="724" w:type="pct"/>
            <w:noWrap/>
            <w:hideMark/>
          </w:tcPr>
          <w:p w14:paraId="13601853"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Bond Hill</w:t>
            </w:r>
          </w:p>
        </w:tc>
        <w:tc>
          <w:tcPr>
            <w:tcW w:w="328" w:type="pct"/>
            <w:noWrap/>
            <w:hideMark/>
          </w:tcPr>
          <w:p w14:paraId="6891EE8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51</w:t>
            </w:r>
          </w:p>
        </w:tc>
        <w:tc>
          <w:tcPr>
            <w:tcW w:w="299" w:type="pct"/>
            <w:noWrap/>
            <w:hideMark/>
          </w:tcPr>
          <w:p w14:paraId="4177E09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93</w:t>
            </w:r>
          </w:p>
        </w:tc>
        <w:tc>
          <w:tcPr>
            <w:tcW w:w="397" w:type="pct"/>
            <w:noWrap/>
            <w:hideMark/>
          </w:tcPr>
          <w:p w14:paraId="2EEF17BC"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132</w:t>
            </w:r>
          </w:p>
        </w:tc>
        <w:tc>
          <w:tcPr>
            <w:tcW w:w="388" w:type="pct"/>
            <w:noWrap/>
            <w:hideMark/>
          </w:tcPr>
          <w:p w14:paraId="256E40D8"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140</w:t>
            </w:r>
          </w:p>
        </w:tc>
        <w:tc>
          <w:tcPr>
            <w:tcW w:w="382" w:type="pct"/>
            <w:noWrap/>
            <w:hideMark/>
          </w:tcPr>
          <w:p w14:paraId="11BA6521"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158</w:t>
            </w:r>
          </w:p>
        </w:tc>
      </w:tr>
      <w:tr w:rsidR="00031DE2" w:rsidRPr="008C3BA5" w14:paraId="640E3AD3" w14:textId="77777777" w:rsidTr="00031DE2">
        <w:trPr>
          <w:cnfStyle w:val="000000100000" w:firstRow="0" w:lastRow="0" w:firstColumn="0" w:lastColumn="0" w:oddVBand="0" w:evenVBand="0" w:oddHBand="1" w:evenHBand="0" w:firstRowFirstColumn="0" w:firstRowLastColumn="0" w:lastRowFirstColumn="0" w:lastRowLastColumn="0"/>
          <w:trHeight w:val="290"/>
        </w:trPr>
        <w:tc>
          <w:tcPr>
            <w:tcW w:w="689" w:type="pct"/>
            <w:noWrap/>
            <w:hideMark/>
          </w:tcPr>
          <w:p w14:paraId="739671E3"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College Hill</w:t>
            </w:r>
          </w:p>
        </w:tc>
        <w:tc>
          <w:tcPr>
            <w:tcW w:w="328" w:type="pct"/>
            <w:noWrap/>
            <w:hideMark/>
          </w:tcPr>
          <w:p w14:paraId="6D9C193C"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45</w:t>
            </w:r>
          </w:p>
        </w:tc>
        <w:tc>
          <w:tcPr>
            <w:tcW w:w="299" w:type="pct"/>
            <w:noWrap/>
            <w:hideMark/>
          </w:tcPr>
          <w:p w14:paraId="1880F1BC"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162</w:t>
            </w:r>
          </w:p>
        </w:tc>
        <w:tc>
          <w:tcPr>
            <w:tcW w:w="397" w:type="pct"/>
            <w:noWrap/>
            <w:hideMark/>
          </w:tcPr>
          <w:p w14:paraId="25C6722B"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229</w:t>
            </w:r>
          </w:p>
        </w:tc>
        <w:tc>
          <w:tcPr>
            <w:tcW w:w="388" w:type="pct"/>
            <w:noWrap/>
            <w:hideMark/>
          </w:tcPr>
          <w:p w14:paraId="4916B04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261</w:t>
            </w:r>
          </w:p>
        </w:tc>
        <w:tc>
          <w:tcPr>
            <w:tcW w:w="382" w:type="pct"/>
            <w:noWrap/>
            <w:hideMark/>
          </w:tcPr>
          <w:p w14:paraId="0675EA77"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296</w:t>
            </w:r>
          </w:p>
        </w:tc>
        <w:tc>
          <w:tcPr>
            <w:tcW w:w="724" w:type="pct"/>
            <w:noWrap/>
            <w:hideMark/>
          </w:tcPr>
          <w:p w14:paraId="74B09A10" w14:textId="77777777" w:rsidR="008C3BA5" w:rsidRPr="008C3BA5" w:rsidRDefault="008C3BA5" w:rsidP="008C3BA5">
            <w:pPr>
              <w:keepNext/>
              <w:rPr>
                <w:rFonts w:ascii="Calibri" w:eastAsia="Times New Roman" w:hAnsi="Calibri" w:cs="Calibri"/>
                <w:color w:val="000000"/>
                <w:sz w:val="20"/>
              </w:rPr>
            </w:pPr>
            <w:proofErr w:type="spellStart"/>
            <w:r w:rsidRPr="008C3BA5">
              <w:rPr>
                <w:rFonts w:ascii="Calibri" w:eastAsia="Times New Roman" w:hAnsi="Calibri" w:cs="Calibri"/>
                <w:color w:val="000000"/>
                <w:sz w:val="20"/>
              </w:rPr>
              <w:t>Roselawn</w:t>
            </w:r>
            <w:proofErr w:type="spellEnd"/>
          </w:p>
        </w:tc>
        <w:tc>
          <w:tcPr>
            <w:tcW w:w="328" w:type="pct"/>
            <w:noWrap/>
            <w:hideMark/>
          </w:tcPr>
          <w:p w14:paraId="361358E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20</w:t>
            </w:r>
          </w:p>
        </w:tc>
        <w:tc>
          <w:tcPr>
            <w:tcW w:w="299" w:type="pct"/>
            <w:noWrap/>
            <w:hideMark/>
          </w:tcPr>
          <w:p w14:paraId="1F46E1A6"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65</w:t>
            </w:r>
          </w:p>
        </w:tc>
        <w:tc>
          <w:tcPr>
            <w:tcW w:w="397" w:type="pct"/>
            <w:noWrap/>
            <w:hideMark/>
          </w:tcPr>
          <w:p w14:paraId="7D4B729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114</w:t>
            </w:r>
          </w:p>
        </w:tc>
        <w:tc>
          <w:tcPr>
            <w:tcW w:w="388" w:type="pct"/>
            <w:noWrap/>
            <w:hideMark/>
          </w:tcPr>
          <w:p w14:paraId="52774000"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125</w:t>
            </w:r>
          </w:p>
        </w:tc>
        <w:tc>
          <w:tcPr>
            <w:tcW w:w="382" w:type="pct"/>
            <w:noWrap/>
            <w:hideMark/>
          </w:tcPr>
          <w:p w14:paraId="43DF2EAB"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145</w:t>
            </w:r>
          </w:p>
        </w:tc>
      </w:tr>
      <w:tr w:rsidR="00031DE2" w:rsidRPr="008C3BA5" w14:paraId="50D19838" w14:textId="77777777" w:rsidTr="00031DE2">
        <w:trPr>
          <w:trHeight w:val="290"/>
        </w:trPr>
        <w:tc>
          <w:tcPr>
            <w:tcW w:w="689" w:type="pct"/>
            <w:noWrap/>
            <w:hideMark/>
          </w:tcPr>
          <w:p w14:paraId="10F38F4A"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Avondale</w:t>
            </w:r>
          </w:p>
        </w:tc>
        <w:tc>
          <w:tcPr>
            <w:tcW w:w="328" w:type="pct"/>
            <w:noWrap/>
            <w:hideMark/>
          </w:tcPr>
          <w:p w14:paraId="6ACCCD2B"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47</w:t>
            </w:r>
          </w:p>
        </w:tc>
        <w:tc>
          <w:tcPr>
            <w:tcW w:w="299" w:type="pct"/>
            <w:noWrap/>
            <w:hideMark/>
          </w:tcPr>
          <w:p w14:paraId="4DE7C8CE"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122</w:t>
            </w:r>
          </w:p>
        </w:tc>
        <w:tc>
          <w:tcPr>
            <w:tcW w:w="397" w:type="pct"/>
            <w:noWrap/>
            <w:hideMark/>
          </w:tcPr>
          <w:p w14:paraId="500F6D1D"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186</w:t>
            </w:r>
          </w:p>
        </w:tc>
        <w:tc>
          <w:tcPr>
            <w:tcW w:w="388" w:type="pct"/>
            <w:noWrap/>
            <w:hideMark/>
          </w:tcPr>
          <w:p w14:paraId="7AD9C90C"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220</w:t>
            </w:r>
          </w:p>
        </w:tc>
        <w:tc>
          <w:tcPr>
            <w:tcW w:w="382" w:type="pct"/>
            <w:noWrap/>
            <w:hideMark/>
          </w:tcPr>
          <w:p w14:paraId="1002D78F"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243</w:t>
            </w:r>
          </w:p>
        </w:tc>
        <w:tc>
          <w:tcPr>
            <w:tcW w:w="724" w:type="pct"/>
            <w:noWrap/>
            <w:hideMark/>
          </w:tcPr>
          <w:p w14:paraId="581448B6"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Pleasant Ridge</w:t>
            </w:r>
          </w:p>
        </w:tc>
        <w:tc>
          <w:tcPr>
            <w:tcW w:w="328" w:type="pct"/>
            <w:noWrap/>
            <w:hideMark/>
          </w:tcPr>
          <w:p w14:paraId="1D365E10"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60</w:t>
            </w:r>
          </w:p>
        </w:tc>
        <w:tc>
          <w:tcPr>
            <w:tcW w:w="299" w:type="pct"/>
            <w:noWrap/>
            <w:hideMark/>
          </w:tcPr>
          <w:p w14:paraId="49C34D86"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84</w:t>
            </w:r>
          </w:p>
        </w:tc>
        <w:tc>
          <w:tcPr>
            <w:tcW w:w="397" w:type="pct"/>
            <w:noWrap/>
            <w:hideMark/>
          </w:tcPr>
          <w:p w14:paraId="6481F2FB"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108</w:t>
            </w:r>
          </w:p>
        </w:tc>
        <w:tc>
          <w:tcPr>
            <w:tcW w:w="388" w:type="pct"/>
            <w:noWrap/>
            <w:hideMark/>
          </w:tcPr>
          <w:p w14:paraId="68537733"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121</w:t>
            </w:r>
          </w:p>
        </w:tc>
        <w:tc>
          <w:tcPr>
            <w:tcW w:w="382" w:type="pct"/>
            <w:noWrap/>
            <w:hideMark/>
          </w:tcPr>
          <w:p w14:paraId="6510CE9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143</w:t>
            </w:r>
          </w:p>
        </w:tc>
      </w:tr>
      <w:tr w:rsidR="00031DE2" w:rsidRPr="008C3BA5" w14:paraId="18A1E24A" w14:textId="77777777" w:rsidTr="00031DE2">
        <w:trPr>
          <w:cnfStyle w:val="000000100000" w:firstRow="0" w:lastRow="0" w:firstColumn="0" w:lastColumn="0" w:oddVBand="0" w:evenVBand="0" w:oddHBand="1" w:evenHBand="0" w:firstRowFirstColumn="0" w:firstRowLastColumn="0" w:lastRowFirstColumn="0" w:lastRowLastColumn="0"/>
          <w:trHeight w:val="290"/>
        </w:trPr>
        <w:tc>
          <w:tcPr>
            <w:tcW w:w="689" w:type="pct"/>
            <w:noWrap/>
            <w:hideMark/>
          </w:tcPr>
          <w:p w14:paraId="13C98CBD" w14:textId="77777777" w:rsidR="008C3BA5" w:rsidRPr="008C3BA5" w:rsidRDefault="008C3BA5" w:rsidP="008C3BA5">
            <w:pPr>
              <w:keepNext/>
              <w:rPr>
                <w:rFonts w:ascii="Calibri" w:eastAsia="Times New Roman" w:hAnsi="Calibri" w:cs="Calibri"/>
                <w:color w:val="000000"/>
                <w:sz w:val="20"/>
              </w:rPr>
            </w:pPr>
            <w:proofErr w:type="spellStart"/>
            <w:r w:rsidRPr="008C3BA5">
              <w:rPr>
                <w:rFonts w:ascii="Calibri" w:eastAsia="Times New Roman" w:hAnsi="Calibri" w:cs="Calibri"/>
                <w:color w:val="000000"/>
                <w:sz w:val="20"/>
              </w:rPr>
              <w:t>Mt.Airy</w:t>
            </w:r>
            <w:proofErr w:type="spellEnd"/>
          </w:p>
        </w:tc>
        <w:tc>
          <w:tcPr>
            <w:tcW w:w="328" w:type="pct"/>
            <w:noWrap/>
            <w:hideMark/>
          </w:tcPr>
          <w:p w14:paraId="3628F3D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40</w:t>
            </w:r>
          </w:p>
        </w:tc>
        <w:tc>
          <w:tcPr>
            <w:tcW w:w="299" w:type="pct"/>
            <w:noWrap/>
            <w:hideMark/>
          </w:tcPr>
          <w:p w14:paraId="5C1E8BDD"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127</w:t>
            </w:r>
          </w:p>
        </w:tc>
        <w:tc>
          <w:tcPr>
            <w:tcW w:w="397" w:type="pct"/>
            <w:noWrap/>
            <w:hideMark/>
          </w:tcPr>
          <w:p w14:paraId="1AE88F8E"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190</w:t>
            </w:r>
          </w:p>
        </w:tc>
        <w:tc>
          <w:tcPr>
            <w:tcW w:w="388" w:type="pct"/>
            <w:noWrap/>
            <w:hideMark/>
          </w:tcPr>
          <w:p w14:paraId="66D7EE2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206</w:t>
            </w:r>
          </w:p>
        </w:tc>
        <w:tc>
          <w:tcPr>
            <w:tcW w:w="382" w:type="pct"/>
            <w:noWrap/>
            <w:hideMark/>
          </w:tcPr>
          <w:p w14:paraId="04D78D5C"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226</w:t>
            </w:r>
          </w:p>
        </w:tc>
        <w:tc>
          <w:tcPr>
            <w:tcW w:w="724" w:type="pct"/>
            <w:noWrap/>
            <w:hideMark/>
          </w:tcPr>
          <w:p w14:paraId="5C56B153" w14:textId="77777777" w:rsidR="008C3BA5" w:rsidRPr="008C3BA5" w:rsidRDefault="008C3BA5" w:rsidP="008C3BA5">
            <w:pPr>
              <w:keepNext/>
              <w:rPr>
                <w:rFonts w:ascii="Calibri" w:eastAsia="Times New Roman" w:hAnsi="Calibri" w:cs="Calibri"/>
                <w:color w:val="000000"/>
                <w:sz w:val="20"/>
              </w:rPr>
            </w:pPr>
            <w:proofErr w:type="spellStart"/>
            <w:r w:rsidRPr="008C3BA5">
              <w:rPr>
                <w:rFonts w:ascii="Calibri" w:eastAsia="Times New Roman" w:hAnsi="Calibri" w:cs="Calibri"/>
                <w:color w:val="000000"/>
                <w:sz w:val="20"/>
              </w:rPr>
              <w:t>Corryville</w:t>
            </w:r>
            <w:proofErr w:type="spellEnd"/>
          </w:p>
        </w:tc>
        <w:tc>
          <w:tcPr>
            <w:tcW w:w="328" w:type="pct"/>
            <w:noWrap/>
            <w:hideMark/>
          </w:tcPr>
          <w:p w14:paraId="04DDB21F"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3</w:t>
            </w:r>
          </w:p>
        </w:tc>
        <w:tc>
          <w:tcPr>
            <w:tcW w:w="299" w:type="pct"/>
            <w:noWrap/>
            <w:hideMark/>
          </w:tcPr>
          <w:p w14:paraId="4806F121"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13</w:t>
            </w:r>
          </w:p>
        </w:tc>
        <w:tc>
          <w:tcPr>
            <w:tcW w:w="397" w:type="pct"/>
            <w:noWrap/>
            <w:hideMark/>
          </w:tcPr>
          <w:p w14:paraId="4D5D5CB9"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31</w:t>
            </w:r>
          </w:p>
        </w:tc>
        <w:tc>
          <w:tcPr>
            <w:tcW w:w="388" w:type="pct"/>
            <w:noWrap/>
            <w:hideMark/>
          </w:tcPr>
          <w:p w14:paraId="11BB07F7"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90</w:t>
            </w:r>
          </w:p>
        </w:tc>
        <w:tc>
          <w:tcPr>
            <w:tcW w:w="382" w:type="pct"/>
            <w:noWrap/>
            <w:hideMark/>
          </w:tcPr>
          <w:p w14:paraId="4F2D51A4"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138</w:t>
            </w:r>
          </w:p>
        </w:tc>
      </w:tr>
      <w:tr w:rsidR="00031DE2" w:rsidRPr="008C3BA5" w14:paraId="00839D07" w14:textId="77777777" w:rsidTr="00031DE2">
        <w:trPr>
          <w:trHeight w:val="290"/>
        </w:trPr>
        <w:tc>
          <w:tcPr>
            <w:tcW w:w="689" w:type="pct"/>
            <w:noWrap/>
            <w:hideMark/>
          </w:tcPr>
          <w:p w14:paraId="1572DEF7"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Oakley</w:t>
            </w:r>
          </w:p>
        </w:tc>
        <w:tc>
          <w:tcPr>
            <w:tcW w:w="328" w:type="pct"/>
            <w:noWrap/>
            <w:hideMark/>
          </w:tcPr>
          <w:p w14:paraId="72E07867"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29</w:t>
            </w:r>
          </w:p>
        </w:tc>
        <w:tc>
          <w:tcPr>
            <w:tcW w:w="299" w:type="pct"/>
            <w:noWrap/>
            <w:hideMark/>
          </w:tcPr>
          <w:p w14:paraId="2877FCFB"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56</w:t>
            </w:r>
          </w:p>
        </w:tc>
        <w:tc>
          <w:tcPr>
            <w:tcW w:w="397" w:type="pct"/>
            <w:noWrap/>
            <w:hideMark/>
          </w:tcPr>
          <w:p w14:paraId="1E3102E0"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114</w:t>
            </w:r>
          </w:p>
        </w:tc>
        <w:tc>
          <w:tcPr>
            <w:tcW w:w="388" w:type="pct"/>
            <w:noWrap/>
            <w:hideMark/>
          </w:tcPr>
          <w:p w14:paraId="59480F1C"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159</w:t>
            </w:r>
          </w:p>
        </w:tc>
        <w:tc>
          <w:tcPr>
            <w:tcW w:w="382" w:type="pct"/>
            <w:noWrap/>
            <w:hideMark/>
          </w:tcPr>
          <w:p w14:paraId="3C7886CE"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215</w:t>
            </w:r>
          </w:p>
        </w:tc>
        <w:tc>
          <w:tcPr>
            <w:tcW w:w="724" w:type="pct"/>
            <w:noWrap/>
            <w:hideMark/>
          </w:tcPr>
          <w:p w14:paraId="76D85A4F"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Hartwell</w:t>
            </w:r>
          </w:p>
        </w:tc>
        <w:tc>
          <w:tcPr>
            <w:tcW w:w="328" w:type="pct"/>
            <w:noWrap/>
            <w:hideMark/>
          </w:tcPr>
          <w:p w14:paraId="650D81DB"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42</w:t>
            </w:r>
          </w:p>
        </w:tc>
        <w:tc>
          <w:tcPr>
            <w:tcW w:w="299" w:type="pct"/>
            <w:noWrap/>
            <w:hideMark/>
          </w:tcPr>
          <w:p w14:paraId="523BA3D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78</w:t>
            </w:r>
          </w:p>
        </w:tc>
        <w:tc>
          <w:tcPr>
            <w:tcW w:w="397" w:type="pct"/>
            <w:noWrap/>
            <w:hideMark/>
          </w:tcPr>
          <w:p w14:paraId="55089364"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105</w:t>
            </w:r>
          </w:p>
        </w:tc>
        <w:tc>
          <w:tcPr>
            <w:tcW w:w="388" w:type="pct"/>
            <w:noWrap/>
            <w:hideMark/>
          </w:tcPr>
          <w:p w14:paraId="450B56F1"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108</w:t>
            </w:r>
          </w:p>
        </w:tc>
        <w:tc>
          <w:tcPr>
            <w:tcW w:w="382" w:type="pct"/>
            <w:noWrap/>
            <w:hideMark/>
          </w:tcPr>
          <w:p w14:paraId="5F133FCE"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120</w:t>
            </w:r>
          </w:p>
        </w:tc>
      </w:tr>
      <w:tr w:rsidR="00031DE2" w:rsidRPr="008C3BA5" w14:paraId="36C94ACD" w14:textId="77777777" w:rsidTr="00031DE2">
        <w:trPr>
          <w:cnfStyle w:val="000000100000" w:firstRow="0" w:lastRow="0" w:firstColumn="0" w:lastColumn="0" w:oddVBand="0" w:evenVBand="0" w:oddHBand="1" w:evenHBand="0" w:firstRowFirstColumn="0" w:firstRowLastColumn="0" w:lastRowFirstColumn="0" w:lastRowLastColumn="0"/>
          <w:trHeight w:val="290"/>
        </w:trPr>
        <w:tc>
          <w:tcPr>
            <w:tcW w:w="689" w:type="pct"/>
            <w:noWrap/>
            <w:hideMark/>
          </w:tcPr>
          <w:p w14:paraId="542BCB31" w14:textId="77777777" w:rsidR="008C3BA5" w:rsidRPr="008C3BA5" w:rsidRDefault="008C3BA5" w:rsidP="008C3BA5">
            <w:pPr>
              <w:keepNext/>
              <w:jc w:val="right"/>
              <w:rPr>
                <w:rFonts w:ascii="Calibri" w:eastAsia="Times New Roman" w:hAnsi="Calibri" w:cs="Calibri"/>
                <w:color w:val="000000"/>
                <w:sz w:val="20"/>
              </w:rPr>
            </w:pPr>
          </w:p>
        </w:tc>
        <w:tc>
          <w:tcPr>
            <w:tcW w:w="328" w:type="pct"/>
            <w:noWrap/>
            <w:hideMark/>
          </w:tcPr>
          <w:p w14:paraId="2F1EF2BE" w14:textId="77777777" w:rsidR="008C3BA5" w:rsidRPr="008C3BA5" w:rsidRDefault="008C3BA5" w:rsidP="008C3BA5">
            <w:pPr>
              <w:keepNext/>
              <w:rPr>
                <w:rFonts w:ascii="Times New Roman" w:eastAsia="Times New Roman" w:hAnsi="Times New Roman" w:cs="Times New Roman"/>
                <w:sz w:val="20"/>
                <w:szCs w:val="20"/>
              </w:rPr>
            </w:pPr>
          </w:p>
        </w:tc>
        <w:tc>
          <w:tcPr>
            <w:tcW w:w="299" w:type="pct"/>
            <w:noWrap/>
            <w:hideMark/>
          </w:tcPr>
          <w:p w14:paraId="51531D18" w14:textId="77777777" w:rsidR="008C3BA5" w:rsidRPr="008C3BA5" w:rsidRDefault="008C3BA5" w:rsidP="008C3BA5">
            <w:pPr>
              <w:keepNext/>
              <w:rPr>
                <w:rFonts w:ascii="Times New Roman" w:eastAsia="Times New Roman" w:hAnsi="Times New Roman" w:cs="Times New Roman"/>
                <w:sz w:val="20"/>
                <w:szCs w:val="20"/>
              </w:rPr>
            </w:pPr>
          </w:p>
        </w:tc>
        <w:tc>
          <w:tcPr>
            <w:tcW w:w="397" w:type="pct"/>
            <w:noWrap/>
            <w:hideMark/>
          </w:tcPr>
          <w:p w14:paraId="7C8FF2CA" w14:textId="77777777" w:rsidR="008C3BA5" w:rsidRPr="008C3BA5" w:rsidRDefault="008C3BA5" w:rsidP="008C3BA5">
            <w:pPr>
              <w:keepNext/>
              <w:rPr>
                <w:rFonts w:ascii="Times New Roman" w:eastAsia="Times New Roman" w:hAnsi="Times New Roman" w:cs="Times New Roman"/>
                <w:sz w:val="20"/>
                <w:szCs w:val="20"/>
              </w:rPr>
            </w:pPr>
          </w:p>
        </w:tc>
        <w:tc>
          <w:tcPr>
            <w:tcW w:w="388" w:type="pct"/>
            <w:noWrap/>
            <w:hideMark/>
          </w:tcPr>
          <w:p w14:paraId="39621DC1" w14:textId="77777777" w:rsidR="008C3BA5" w:rsidRPr="008C3BA5" w:rsidRDefault="008C3BA5" w:rsidP="008C3BA5">
            <w:pPr>
              <w:keepNext/>
              <w:rPr>
                <w:rFonts w:ascii="Times New Roman" w:eastAsia="Times New Roman" w:hAnsi="Times New Roman" w:cs="Times New Roman"/>
                <w:sz w:val="20"/>
                <w:szCs w:val="20"/>
              </w:rPr>
            </w:pPr>
          </w:p>
        </w:tc>
        <w:tc>
          <w:tcPr>
            <w:tcW w:w="382" w:type="pct"/>
            <w:noWrap/>
            <w:hideMark/>
          </w:tcPr>
          <w:p w14:paraId="041C3E06" w14:textId="77777777" w:rsidR="008C3BA5" w:rsidRPr="008C3BA5" w:rsidRDefault="008C3BA5" w:rsidP="008C3BA5">
            <w:pPr>
              <w:keepNext/>
              <w:rPr>
                <w:rFonts w:ascii="Times New Roman" w:eastAsia="Times New Roman" w:hAnsi="Times New Roman" w:cs="Times New Roman"/>
                <w:sz w:val="20"/>
                <w:szCs w:val="20"/>
              </w:rPr>
            </w:pPr>
          </w:p>
        </w:tc>
        <w:tc>
          <w:tcPr>
            <w:tcW w:w="724" w:type="pct"/>
            <w:noWrap/>
            <w:hideMark/>
          </w:tcPr>
          <w:p w14:paraId="4A84158A"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Over-the-Rhine</w:t>
            </w:r>
          </w:p>
        </w:tc>
        <w:tc>
          <w:tcPr>
            <w:tcW w:w="328" w:type="pct"/>
            <w:noWrap/>
            <w:hideMark/>
          </w:tcPr>
          <w:p w14:paraId="483B3329"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7</w:t>
            </w:r>
          </w:p>
        </w:tc>
        <w:tc>
          <w:tcPr>
            <w:tcW w:w="299" w:type="pct"/>
            <w:noWrap/>
            <w:hideMark/>
          </w:tcPr>
          <w:p w14:paraId="2226988B"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50</w:t>
            </w:r>
          </w:p>
        </w:tc>
        <w:tc>
          <w:tcPr>
            <w:tcW w:w="397" w:type="pct"/>
            <w:noWrap/>
            <w:hideMark/>
          </w:tcPr>
          <w:p w14:paraId="3DB6CE82"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85</w:t>
            </w:r>
          </w:p>
        </w:tc>
        <w:tc>
          <w:tcPr>
            <w:tcW w:w="388" w:type="pct"/>
            <w:noWrap/>
            <w:hideMark/>
          </w:tcPr>
          <w:p w14:paraId="291D2C0B"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93</w:t>
            </w:r>
          </w:p>
        </w:tc>
        <w:tc>
          <w:tcPr>
            <w:tcW w:w="382" w:type="pct"/>
            <w:noWrap/>
            <w:hideMark/>
          </w:tcPr>
          <w:p w14:paraId="5F2F5B2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111</w:t>
            </w:r>
          </w:p>
        </w:tc>
      </w:tr>
      <w:tr w:rsidR="00031DE2" w:rsidRPr="008C3BA5" w14:paraId="4D3DABD0" w14:textId="77777777" w:rsidTr="00031DE2">
        <w:trPr>
          <w:trHeight w:val="290"/>
        </w:trPr>
        <w:tc>
          <w:tcPr>
            <w:tcW w:w="689" w:type="pct"/>
            <w:noWrap/>
            <w:hideMark/>
          </w:tcPr>
          <w:p w14:paraId="63476D91" w14:textId="77777777" w:rsidR="008C3BA5" w:rsidRPr="008C3BA5" w:rsidRDefault="008C3BA5" w:rsidP="008C3BA5">
            <w:pPr>
              <w:keepNext/>
              <w:jc w:val="right"/>
              <w:rPr>
                <w:rFonts w:ascii="Calibri" w:eastAsia="Times New Roman" w:hAnsi="Calibri" w:cs="Calibri"/>
                <w:color w:val="000000"/>
                <w:sz w:val="20"/>
              </w:rPr>
            </w:pPr>
          </w:p>
        </w:tc>
        <w:tc>
          <w:tcPr>
            <w:tcW w:w="328" w:type="pct"/>
            <w:noWrap/>
            <w:hideMark/>
          </w:tcPr>
          <w:p w14:paraId="46433E60" w14:textId="77777777" w:rsidR="008C3BA5" w:rsidRPr="008C3BA5" w:rsidRDefault="008C3BA5" w:rsidP="008C3BA5">
            <w:pPr>
              <w:keepNext/>
              <w:rPr>
                <w:rFonts w:ascii="Times New Roman" w:eastAsia="Times New Roman" w:hAnsi="Times New Roman" w:cs="Times New Roman"/>
                <w:sz w:val="20"/>
                <w:szCs w:val="20"/>
              </w:rPr>
            </w:pPr>
          </w:p>
        </w:tc>
        <w:tc>
          <w:tcPr>
            <w:tcW w:w="299" w:type="pct"/>
            <w:noWrap/>
            <w:hideMark/>
          </w:tcPr>
          <w:p w14:paraId="1CBCB587" w14:textId="77777777" w:rsidR="008C3BA5" w:rsidRPr="008C3BA5" w:rsidRDefault="008C3BA5" w:rsidP="008C3BA5">
            <w:pPr>
              <w:keepNext/>
              <w:rPr>
                <w:rFonts w:ascii="Times New Roman" w:eastAsia="Times New Roman" w:hAnsi="Times New Roman" w:cs="Times New Roman"/>
                <w:sz w:val="20"/>
                <w:szCs w:val="20"/>
              </w:rPr>
            </w:pPr>
          </w:p>
        </w:tc>
        <w:tc>
          <w:tcPr>
            <w:tcW w:w="397" w:type="pct"/>
            <w:noWrap/>
            <w:hideMark/>
          </w:tcPr>
          <w:p w14:paraId="0E8CCEEB" w14:textId="77777777" w:rsidR="008C3BA5" w:rsidRPr="008C3BA5" w:rsidRDefault="008C3BA5" w:rsidP="008C3BA5">
            <w:pPr>
              <w:keepNext/>
              <w:rPr>
                <w:rFonts w:ascii="Times New Roman" w:eastAsia="Times New Roman" w:hAnsi="Times New Roman" w:cs="Times New Roman"/>
                <w:sz w:val="20"/>
                <w:szCs w:val="20"/>
              </w:rPr>
            </w:pPr>
          </w:p>
        </w:tc>
        <w:tc>
          <w:tcPr>
            <w:tcW w:w="388" w:type="pct"/>
            <w:noWrap/>
            <w:hideMark/>
          </w:tcPr>
          <w:p w14:paraId="4AEABCCD" w14:textId="77777777" w:rsidR="008C3BA5" w:rsidRPr="008C3BA5" w:rsidRDefault="008C3BA5" w:rsidP="008C3BA5">
            <w:pPr>
              <w:keepNext/>
              <w:rPr>
                <w:rFonts w:ascii="Times New Roman" w:eastAsia="Times New Roman" w:hAnsi="Times New Roman" w:cs="Times New Roman"/>
                <w:sz w:val="20"/>
                <w:szCs w:val="20"/>
              </w:rPr>
            </w:pPr>
          </w:p>
        </w:tc>
        <w:tc>
          <w:tcPr>
            <w:tcW w:w="382" w:type="pct"/>
            <w:noWrap/>
            <w:hideMark/>
          </w:tcPr>
          <w:p w14:paraId="2A59DD7D" w14:textId="77777777" w:rsidR="008C3BA5" w:rsidRPr="008C3BA5" w:rsidRDefault="008C3BA5" w:rsidP="008C3BA5">
            <w:pPr>
              <w:keepNext/>
              <w:rPr>
                <w:rFonts w:ascii="Times New Roman" w:eastAsia="Times New Roman" w:hAnsi="Times New Roman" w:cs="Times New Roman"/>
                <w:sz w:val="20"/>
                <w:szCs w:val="20"/>
              </w:rPr>
            </w:pPr>
          </w:p>
        </w:tc>
        <w:tc>
          <w:tcPr>
            <w:tcW w:w="724" w:type="pct"/>
            <w:noWrap/>
            <w:hideMark/>
          </w:tcPr>
          <w:p w14:paraId="5492D628"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Walnut Hills</w:t>
            </w:r>
          </w:p>
        </w:tc>
        <w:tc>
          <w:tcPr>
            <w:tcW w:w="328" w:type="pct"/>
            <w:noWrap/>
            <w:hideMark/>
          </w:tcPr>
          <w:p w14:paraId="202E9CE4"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20</w:t>
            </w:r>
          </w:p>
        </w:tc>
        <w:tc>
          <w:tcPr>
            <w:tcW w:w="299" w:type="pct"/>
            <w:noWrap/>
            <w:hideMark/>
          </w:tcPr>
          <w:p w14:paraId="3745A0EF"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56</w:t>
            </w:r>
          </w:p>
        </w:tc>
        <w:tc>
          <w:tcPr>
            <w:tcW w:w="397" w:type="pct"/>
            <w:noWrap/>
            <w:hideMark/>
          </w:tcPr>
          <w:p w14:paraId="053BBCF5"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84</w:t>
            </w:r>
          </w:p>
        </w:tc>
        <w:tc>
          <w:tcPr>
            <w:tcW w:w="388" w:type="pct"/>
            <w:noWrap/>
            <w:hideMark/>
          </w:tcPr>
          <w:p w14:paraId="5FCCA518"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95</w:t>
            </w:r>
          </w:p>
        </w:tc>
        <w:tc>
          <w:tcPr>
            <w:tcW w:w="382" w:type="pct"/>
            <w:noWrap/>
            <w:hideMark/>
          </w:tcPr>
          <w:p w14:paraId="48E67C5C"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108</w:t>
            </w:r>
          </w:p>
        </w:tc>
      </w:tr>
      <w:tr w:rsidR="00031DE2" w:rsidRPr="008C3BA5" w14:paraId="22EBF27C" w14:textId="77777777" w:rsidTr="00031DE2">
        <w:trPr>
          <w:cnfStyle w:val="000000100000" w:firstRow="0" w:lastRow="0" w:firstColumn="0" w:lastColumn="0" w:oddVBand="0" w:evenVBand="0" w:oddHBand="1" w:evenHBand="0" w:firstRowFirstColumn="0" w:firstRowLastColumn="0" w:lastRowFirstColumn="0" w:lastRowLastColumn="0"/>
          <w:trHeight w:val="290"/>
        </w:trPr>
        <w:tc>
          <w:tcPr>
            <w:tcW w:w="689" w:type="pct"/>
            <w:noWrap/>
            <w:hideMark/>
          </w:tcPr>
          <w:p w14:paraId="51F534F6" w14:textId="77777777" w:rsidR="008C3BA5" w:rsidRPr="008C3BA5" w:rsidRDefault="008C3BA5" w:rsidP="008C3BA5">
            <w:pPr>
              <w:keepNext/>
              <w:jc w:val="right"/>
              <w:rPr>
                <w:rFonts w:ascii="Calibri" w:eastAsia="Times New Roman" w:hAnsi="Calibri" w:cs="Calibri"/>
                <w:color w:val="000000"/>
                <w:sz w:val="20"/>
              </w:rPr>
            </w:pPr>
          </w:p>
        </w:tc>
        <w:tc>
          <w:tcPr>
            <w:tcW w:w="328" w:type="pct"/>
            <w:noWrap/>
            <w:hideMark/>
          </w:tcPr>
          <w:p w14:paraId="46FD9882" w14:textId="77777777" w:rsidR="008C3BA5" w:rsidRPr="008C3BA5" w:rsidRDefault="008C3BA5" w:rsidP="008C3BA5">
            <w:pPr>
              <w:keepNext/>
              <w:rPr>
                <w:rFonts w:ascii="Times New Roman" w:eastAsia="Times New Roman" w:hAnsi="Times New Roman" w:cs="Times New Roman"/>
                <w:sz w:val="20"/>
                <w:szCs w:val="20"/>
              </w:rPr>
            </w:pPr>
          </w:p>
        </w:tc>
        <w:tc>
          <w:tcPr>
            <w:tcW w:w="299" w:type="pct"/>
            <w:noWrap/>
            <w:hideMark/>
          </w:tcPr>
          <w:p w14:paraId="09D09696" w14:textId="77777777" w:rsidR="008C3BA5" w:rsidRPr="008C3BA5" w:rsidRDefault="008C3BA5" w:rsidP="008C3BA5">
            <w:pPr>
              <w:keepNext/>
              <w:rPr>
                <w:rFonts w:ascii="Times New Roman" w:eastAsia="Times New Roman" w:hAnsi="Times New Roman" w:cs="Times New Roman"/>
                <w:sz w:val="20"/>
                <w:szCs w:val="20"/>
              </w:rPr>
            </w:pPr>
          </w:p>
        </w:tc>
        <w:tc>
          <w:tcPr>
            <w:tcW w:w="397" w:type="pct"/>
            <w:noWrap/>
            <w:hideMark/>
          </w:tcPr>
          <w:p w14:paraId="222DA66D" w14:textId="77777777" w:rsidR="008C3BA5" w:rsidRPr="008C3BA5" w:rsidRDefault="008C3BA5" w:rsidP="008C3BA5">
            <w:pPr>
              <w:keepNext/>
              <w:rPr>
                <w:rFonts w:ascii="Times New Roman" w:eastAsia="Times New Roman" w:hAnsi="Times New Roman" w:cs="Times New Roman"/>
                <w:sz w:val="20"/>
                <w:szCs w:val="20"/>
              </w:rPr>
            </w:pPr>
          </w:p>
        </w:tc>
        <w:tc>
          <w:tcPr>
            <w:tcW w:w="388" w:type="pct"/>
            <w:noWrap/>
            <w:hideMark/>
          </w:tcPr>
          <w:p w14:paraId="4C566456" w14:textId="77777777" w:rsidR="008C3BA5" w:rsidRPr="008C3BA5" w:rsidRDefault="008C3BA5" w:rsidP="008C3BA5">
            <w:pPr>
              <w:keepNext/>
              <w:rPr>
                <w:rFonts w:ascii="Times New Roman" w:eastAsia="Times New Roman" w:hAnsi="Times New Roman" w:cs="Times New Roman"/>
                <w:sz w:val="20"/>
                <w:szCs w:val="20"/>
              </w:rPr>
            </w:pPr>
          </w:p>
        </w:tc>
        <w:tc>
          <w:tcPr>
            <w:tcW w:w="382" w:type="pct"/>
            <w:noWrap/>
            <w:hideMark/>
          </w:tcPr>
          <w:p w14:paraId="29540EAF" w14:textId="77777777" w:rsidR="008C3BA5" w:rsidRPr="008C3BA5" w:rsidRDefault="008C3BA5" w:rsidP="008C3BA5">
            <w:pPr>
              <w:keepNext/>
              <w:rPr>
                <w:rFonts w:ascii="Times New Roman" w:eastAsia="Times New Roman" w:hAnsi="Times New Roman" w:cs="Times New Roman"/>
                <w:sz w:val="20"/>
                <w:szCs w:val="20"/>
              </w:rPr>
            </w:pPr>
          </w:p>
        </w:tc>
        <w:tc>
          <w:tcPr>
            <w:tcW w:w="724" w:type="pct"/>
            <w:noWrap/>
            <w:hideMark/>
          </w:tcPr>
          <w:p w14:paraId="18C42871" w14:textId="77777777" w:rsidR="008C3BA5" w:rsidRPr="008C3BA5" w:rsidRDefault="008C3BA5" w:rsidP="008C3BA5">
            <w:pPr>
              <w:keepNext/>
              <w:rPr>
                <w:rFonts w:ascii="Calibri" w:eastAsia="Times New Roman" w:hAnsi="Calibri" w:cs="Calibri"/>
                <w:color w:val="000000"/>
                <w:sz w:val="20"/>
              </w:rPr>
            </w:pPr>
            <w:r w:rsidRPr="008C3BA5">
              <w:rPr>
                <w:rFonts w:ascii="Calibri" w:eastAsia="Times New Roman" w:hAnsi="Calibri" w:cs="Calibri"/>
                <w:color w:val="000000"/>
                <w:sz w:val="20"/>
              </w:rPr>
              <w:t>Mt. Auburn</w:t>
            </w:r>
          </w:p>
        </w:tc>
        <w:tc>
          <w:tcPr>
            <w:tcW w:w="328" w:type="pct"/>
            <w:noWrap/>
            <w:hideMark/>
          </w:tcPr>
          <w:p w14:paraId="38503ADD"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11</w:t>
            </w:r>
          </w:p>
        </w:tc>
        <w:tc>
          <w:tcPr>
            <w:tcW w:w="299" w:type="pct"/>
            <w:noWrap/>
            <w:hideMark/>
          </w:tcPr>
          <w:p w14:paraId="78EEF285"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39</w:t>
            </w:r>
          </w:p>
        </w:tc>
        <w:tc>
          <w:tcPr>
            <w:tcW w:w="397" w:type="pct"/>
            <w:noWrap/>
            <w:hideMark/>
          </w:tcPr>
          <w:p w14:paraId="01DAC80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69</w:t>
            </w:r>
          </w:p>
        </w:tc>
        <w:tc>
          <w:tcPr>
            <w:tcW w:w="388" w:type="pct"/>
            <w:noWrap/>
            <w:hideMark/>
          </w:tcPr>
          <w:p w14:paraId="4138D484"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85</w:t>
            </w:r>
          </w:p>
        </w:tc>
        <w:tc>
          <w:tcPr>
            <w:tcW w:w="382" w:type="pct"/>
            <w:noWrap/>
            <w:hideMark/>
          </w:tcPr>
          <w:p w14:paraId="3C3D9E3A" w14:textId="77777777" w:rsidR="008C3BA5" w:rsidRPr="008C3BA5" w:rsidRDefault="008C3BA5" w:rsidP="008C3BA5">
            <w:pPr>
              <w:keepNext/>
              <w:jc w:val="right"/>
              <w:rPr>
                <w:rFonts w:ascii="Calibri" w:eastAsia="Times New Roman" w:hAnsi="Calibri" w:cs="Calibri"/>
                <w:color w:val="000000"/>
                <w:sz w:val="20"/>
              </w:rPr>
            </w:pPr>
            <w:r w:rsidRPr="008C3BA5">
              <w:rPr>
                <w:rFonts w:ascii="Calibri" w:eastAsia="Times New Roman" w:hAnsi="Calibri" w:cs="Calibri"/>
                <w:color w:val="000000"/>
                <w:sz w:val="20"/>
              </w:rPr>
              <w:t>103</w:t>
            </w:r>
          </w:p>
        </w:tc>
      </w:tr>
      <w:tr w:rsidR="00E177D5" w:rsidRPr="008C3BA5" w14:paraId="74B50A7E" w14:textId="77777777" w:rsidTr="00031DE2">
        <w:trPr>
          <w:trHeight w:val="290"/>
        </w:trPr>
        <w:tc>
          <w:tcPr>
            <w:tcW w:w="689" w:type="pct"/>
            <w:noWrap/>
          </w:tcPr>
          <w:p w14:paraId="4C599275" w14:textId="77777777" w:rsidR="00E177D5" w:rsidRPr="008C3BA5" w:rsidRDefault="00E177D5" w:rsidP="008C3BA5">
            <w:pPr>
              <w:keepNext/>
              <w:jc w:val="right"/>
              <w:rPr>
                <w:rFonts w:ascii="Calibri" w:eastAsia="Times New Roman" w:hAnsi="Calibri" w:cs="Calibri"/>
                <w:color w:val="000000"/>
                <w:sz w:val="20"/>
              </w:rPr>
            </w:pPr>
          </w:p>
        </w:tc>
        <w:tc>
          <w:tcPr>
            <w:tcW w:w="328" w:type="pct"/>
            <w:noWrap/>
          </w:tcPr>
          <w:p w14:paraId="235480CD" w14:textId="77777777" w:rsidR="00E177D5" w:rsidRPr="008C3BA5" w:rsidRDefault="00E177D5" w:rsidP="008C3BA5">
            <w:pPr>
              <w:keepNext/>
              <w:rPr>
                <w:rFonts w:ascii="Times New Roman" w:eastAsia="Times New Roman" w:hAnsi="Times New Roman" w:cs="Times New Roman"/>
                <w:sz w:val="20"/>
                <w:szCs w:val="20"/>
              </w:rPr>
            </w:pPr>
          </w:p>
        </w:tc>
        <w:tc>
          <w:tcPr>
            <w:tcW w:w="299" w:type="pct"/>
            <w:noWrap/>
          </w:tcPr>
          <w:p w14:paraId="7BDDFA55" w14:textId="77777777" w:rsidR="00E177D5" w:rsidRPr="008C3BA5" w:rsidRDefault="00E177D5" w:rsidP="008C3BA5">
            <w:pPr>
              <w:keepNext/>
              <w:rPr>
                <w:rFonts w:ascii="Times New Roman" w:eastAsia="Times New Roman" w:hAnsi="Times New Roman" w:cs="Times New Roman"/>
                <w:sz w:val="20"/>
                <w:szCs w:val="20"/>
              </w:rPr>
            </w:pPr>
          </w:p>
        </w:tc>
        <w:tc>
          <w:tcPr>
            <w:tcW w:w="397" w:type="pct"/>
            <w:noWrap/>
          </w:tcPr>
          <w:p w14:paraId="0DD9821F" w14:textId="77777777" w:rsidR="00E177D5" w:rsidRPr="008C3BA5" w:rsidRDefault="00E177D5" w:rsidP="008C3BA5">
            <w:pPr>
              <w:keepNext/>
              <w:rPr>
                <w:rFonts w:ascii="Times New Roman" w:eastAsia="Times New Roman" w:hAnsi="Times New Roman" w:cs="Times New Roman"/>
                <w:sz w:val="20"/>
                <w:szCs w:val="20"/>
              </w:rPr>
            </w:pPr>
          </w:p>
        </w:tc>
        <w:tc>
          <w:tcPr>
            <w:tcW w:w="388" w:type="pct"/>
            <w:noWrap/>
          </w:tcPr>
          <w:p w14:paraId="6C61A0D2" w14:textId="77777777" w:rsidR="00E177D5" w:rsidRPr="008C3BA5" w:rsidRDefault="00E177D5" w:rsidP="008C3BA5">
            <w:pPr>
              <w:keepNext/>
              <w:rPr>
                <w:rFonts w:ascii="Times New Roman" w:eastAsia="Times New Roman" w:hAnsi="Times New Roman" w:cs="Times New Roman"/>
                <w:sz w:val="20"/>
                <w:szCs w:val="20"/>
              </w:rPr>
            </w:pPr>
          </w:p>
        </w:tc>
        <w:tc>
          <w:tcPr>
            <w:tcW w:w="382" w:type="pct"/>
            <w:noWrap/>
          </w:tcPr>
          <w:p w14:paraId="78639604" w14:textId="77777777" w:rsidR="00E177D5" w:rsidRPr="008C3BA5" w:rsidRDefault="00E177D5" w:rsidP="008C3BA5">
            <w:pPr>
              <w:keepNext/>
              <w:rPr>
                <w:rFonts w:ascii="Times New Roman" w:eastAsia="Times New Roman" w:hAnsi="Times New Roman" w:cs="Times New Roman"/>
                <w:sz w:val="20"/>
                <w:szCs w:val="20"/>
              </w:rPr>
            </w:pPr>
          </w:p>
        </w:tc>
        <w:tc>
          <w:tcPr>
            <w:tcW w:w="724" w:type="pct"/>
            <w:noWrap/>
          </w:tcPr>
          <w:p w14:paraId="1F7F0FDD" w14:textId="59D1CD2F" w:rsidR="00E177D5" w:rsidRPr="008C3BA5" w:rsidRDefault="00E177D5" w:rsidP="008C3BA5">
            <w:pPr>
              <w:keepNext/>
              <w:rPr>
                <w:rFonts w:ascii="Calibri" w:eastAsia="Times New Roman" w:hAnsi="Calibri" w:cs="Calibri"/>
                <w:color w:val="000000"/>
                <w:sz w:val="20"/>
              </w:rPr>
            </w:pPr>
            <w:r>
              <w:rPr>
                <w:rFonts w:ascii="Calibri" w:eastAsia="Times New Roman" w:hAnsi="Calibri" w:cs="Calibri"/>
                <w:color w:val="000000"/>
                <w:sz w:val="20"/>
              </w:rPr>
              <w:t>West End</w:t>
            </w:r>
          </w:p>
        </w:tc>
        <w:tc>
          <w:tcPr>
            <w:tcW w:w="328" w:type="pct"/>
            <w:noWrap/>
          </w:tcPr>
          <w:p w14:paraId="6890673A" w14:textId="6704DEA5" w:rsidR="00E177D5" w:rsidRPr="008C3BA5" w:rsidRDefault="00E177D5" w:rsidP="008C3BA5">
            <w:pPr>
              <w:keepNext/>
              <w:jc w:val="right"/>
              <w:rPr>
                <w:rFonts w:ascii="Calibri" w:eastAsia="Times New Roman" w:hAnsi="Calibri" w:cs="Calibri"/>
                <w:color w:val="000000"/>
                <w:sz w:val="20"/>
              </w:rPr>
            </w:pPr>
            <w:r>
              <w:rPr>
                <w:rFonts w:ascii="Calibri" w:eastAsia="Times New Roman" w:hAnsi="Calibri" w:cs="Calibri"/>
                <w:color w:val="000000"/>
                <w:sz w:val="20"/>
              </w:rPr>
              <w:t>13</w:t>
            </w:r>
          </w:p>
        </w:tc>
        <w:tc>
          <w:tcPr>
            <w:tcW w:w="299" w:type="pct"/>
            <w:noWrap/>
          </w:tcPr>
          <w:p w14:paraId="06D50307" w14:textId="74C643C9" w:rsidR="00E177D5" w:rsidRPr="008C3BA5" w:rsidRDefault="00E177D5" w:rsidP="008C3BA5">
            <w:pPr>
              <w:keepNext/>
              <w:jc w:val="right"/>
              <w:rPr>
                <w:rFonts w:ascii="Calibri" w:eastAsia="Times New Roman" w:hAnsi="Calibri" w:cs="Calibri"/>
                <w:color w:val="000000"/>
                <w:sz w:val="20"/>
              </w:rPr>
            </w:pPr>
            <w:r>
              <w:rPr>
                <w:rFonts w:ascii="Calibri" w:eastAsia="Times New Roman" w:hAnsi="Calibri" w:cs="Calibri"/>
                <w:color w:val="000000"/>
                <w:sz w:val="20"/>
              </w:rPr>
              <w:t>63</w:t>
            </w:r>
          </w:p>
        </w:tc>
        <w:tc>
          <w:tcPr>
            <w:tcW w:w="397" w:type="pct"/>
            <w:noWrap/>
          </w:tcPr>
          <w:p w14:paraId="34E1C6AF" w14:textId="1AAFCA2B" w:rsidR="00E177D5" w:rsidRPr="008C3BA5" w:rsidRDefault="00E177D5" w:rsidP="008C3BA5">
            <w:pPr>
              <w:keepNext/>
              <w:jc w:val="right"/>
              <w:rPr>
                <w:rFonts w:ascii="Calibri" w:eastAsia="Times New Roman" w:hAnsi="Calibri" w:cs="Calibri"/>
                <w:color w:val="000000"/>
                <w:sz w:val="20"/>
              </w:rPr>
            </w:pPr>
            <w:r>
              <w:rPr>
                <w:rFonts w:ascii="Calibri" w:eastAsia="Times New Roman" w:hAnsi="Calibri" w:cs="Calibri"/>
                <w:color w:val="000000"/>
                <w:sz w:val="20"/>
              </w:rPr>
              <w:t>95</w:t>
            </w:r>
          </w:p>
        </w:tc>
        <w:tc>
          <w:tcPr>
            <w:tcW w:w="388" w:type="pct"/>
            <w:noWrap/>
          </w:tcPr>
          <w:p w14:paraId="549008AE" w14:textId="25F3C6CE" w:rsidR="00E177D5" w:rsidRPr="008C3BA5" w:rsidRDefault="00E177D5" w:rsidP="008C3BA5">
            <w:pPr>
              <w:keepNext/>
              <w:jc w:val="right"/>
              <w:rPr>
                <w:rFonts w:ascii="Calibri" w:eastAsia="Times New Roman" w:hAnsi="Calibri" w:cs="Calibri"/>
                <w:color w:val="000000"/>
                <w:sz w:val="20"/>
              </w:rPr>
            </w:pPr>
            <w:r>
              <w:rPr>
                <w:rFonts w:ascii="Calibri" w:eastAsia="Times New Roman" w:hAnsi="Calibri" w:cs="Calibri"/>
                <w:color w:val="000000"/>
                <w:sz w:val="20"/>
              </w:rPr>
              <w:t>106</w:t>
            </w:r>
          </w:p>
        </w:tc>
        <w:tc>
          <w:tcPr>
            <w:tcW w:w="382" w:type="pct"/>
            <w:noWrap/>
          </w:tcPr>
          <w:p w14:paraId="34A9E4A3" w14:textId="18E6E743" w:rsidR="00E177D5" w:rsidRPr="008C3BA5" w:rsidRDefault="00E177D5" w:rsidP="008C3BA5">
            <w:pPr>
              <w:keepNext/>
              <w:jc w:val="right"/>
              <w:rPr>
                <w:rFonts w:ascii="Calibri" w:eastAsia="Times New Roman" w:hAnsi="Calibri" w:cs="Calibri"/>
                <w:color w:val="000000"/>
                <w:sz w:val="20"/>
              </w:rPr>
            </w:pPr>
            <w:r>
              <w:rPr>
                <w:rFonts w:ascii="Calibri" w:eastAsia="Times New Roman" w:hAnsi="Calibri" w:cs="Calibri"/>
                <w:color w:val="000000"/>
                <w:sz w:val="20"/>
              </w:rPr>
              <w:t>114</w:t>
            </w:r>
            <w:bookmarkStart w:id="0" w:name="_GoBack"/>
            <w:bookmarkEnd w:id="0"/>
          </w:p>
        </w:tc>
      </w:tr>
    </w:tbl>
    <w:p w14:paraId="44F525FB" w14:textId="26F124A7" w:rsidR="00B97637" w:rsidRDefault="00B97637" w:rsidP="00B97637">
      <w:pPr>
        <w:jc w:val="right"/>
        <w:rPr>
          <w:i/>
          <w:iCs/>
        </w:rPr>
      </w:pPr>
      <w:r w:rsidRPr="006C7744">
        <w:rPr>
          <w:b/>
          <w:bCs/>
          <w:i/>
          <w:iCs/>
        </w:rPr>
        <w:t>Source:</w:t>
      </w:r>
      <w:r w:rsidRPr="006C7744">
        <w:rPr>
          <w:i/>
          <w:iCs/>
        </w:rPr>
        <w:t xml:space="preserve"> Cincinnati Health Department June 1, July 7</w:t>
      </w:r>
      <w:r w:rsidR="00362F50">
        <w:rPr>
          <w:i/>
          <w:iCs/>
        </w:rPr>
        <w:t xml:space="preserve">, August </w:t>
      </w:r>
      <w:r w:rsidR="00445CDE">
        <w:rPr>
          <w:i/>
          <w:iCs/>
        </w:rPr>
        <w:t>13</w:t>
      </w:r>
      <w:r w:rsidR="006A72CF">
        <w:rPr>
          <w:i/>
          <w:iCs/>
        </w:rPr>
        <w:t>, September 14</w:t>
      </w:r>
      <w:r w:rsidR="00033934">
        <w:rPr>
          <w:i/>
          <w:iCs/>
        </w:rPr>
        <w:t>, October 14</w:t>
      </w:r>
    </w:p>
    <w:p w14:paraId="7F97E3E8" w14:textId="77777777" w:rsidR="00D117AE" w:rsidRDefault="00D117AE" w:rsidP="00D117AE">
      <w:pPr>
        <w:pStyle w:val="Heading2"/>
      </w:pPr>
      <w:r>
        <w:t>Conclusions</w:t>
      </w:r>
    </w:p>
    <w:p w14:paraId="010F40CF" w14:textId="5FBECB66" w:rsidR="00D117AE" w:rsidRDefault="00D117AE" w:rsidP="00D117AE">
      <w:pPr>
        <w:keepNext/>
        <w:spacing w:after="120"/>
      </w:pPr>
      <w:r>
        <w:t xml:space="preserve">The data presented in this report need to be considered in the location of testing sites and in the allocation of outreach, contact tracing, and education resources.  </w:t>
      </w:r>
      <w:r w:rsidRPr="00E1189C">
        <w:rPr>
          <w:b/>
          <w:bCs/>
          <w:i/>
          <w:iCs/>
        </w:rPr>
        <w:t>The neighborhoods listed in Table 4 should be top priority.</w:t>
      </w:r>
      <w:r>
        <w:t xml:space="preserve">  Second priority should be the low socio-economic status areas (SES I) listed in the socioeconomic status map (</w:t>
      </w:r>
      <w:r w:rsidRPr="00CE7329">
        <w:rPr>
          <w:b/>
          <w:bCs/>
        </w:rPr>
        <w:t>Figure 2</w:t>
      </w:r>
      <w:r>
        <w:t xml:space="preserve"> from The Social Areas of Cincinnati, Fifth Edition (</w:t>
      </w:r>
      <w:hyperlink r:id="rId8" w:history="1">
        <w:r w:rsidRPr="00677326">
          <w:rPr>
            <w:rStyle w:val="Hyperlink"/>
          </w:rPr>
          <w:t>www.socialareasofcincinnati.org</w:t>
        </w:r>
      </w:hyperlink>
      <w:r>
        <w:t xml:space="preserve">)).  This will include, for example, impoverished sections of the West End, Lower Price Hill, </w:t>
      </w:r>
      <w:proofErr w:type="spellStart"/>
      <w:r>
        <w:t>Sedamsville</w:t>
      </w:r>
      <w:proofErr w:type="spellEnd"/>
      <w:r>
        <w:t xml:space="preserve">, the Mill Creek Valley and the near east side along Reading Road and </w:t>
      </w:r>
      <w:r>
        <w:lastRenderedPageBreak/>
        <w:t>Montgomery Road.  Some of these neighborhoods</w:t>
      </w:r>
      <w:r w:rsidR="0007746A">
        <w:t>, though their numbers are small,</w:t>
      </w:r>
      <w:r>
        <w:t xml:space="preserve"> show up in </w:t>
      </w:r>
      <w:r w:rsidRPr="0007746A">
        <w:rPr>
          <w:b/>
          <w:bCs/>
        </w:rPr>
        <w:t>Table 5</w:t>
      </w:r>
      <w:r>
        <w:t xml:space="preserve"> with very high percent increases in confirmed cases:</w:t>
      </w:r>
    </w:p>
    <w:p w14:paraId="7BE7F166" w14:textId="5F9CA8BF" w:rsidR="00EE3BD3" w:rsidRPr="008C3BA5" w:rsidRDefault="00EE3BD3" w:rsidP="00EE3BD3">
      <w:pPr>
        <w:keepNext/>
        <w:spacing w:after="0"/>
        <w:ind w:left="720"/>
      </w:pPr>
      <w:proofErr w:type="spellStart"/>
      <w:r w:rsidRPr="008C3BA5">
        <w:t>Sayler</w:t>
      </w:r>
      <w:proofErr w:type="spellEnd"/>
      <w:r w:rsidRPr="008C3BA5">
        <w:t xml:space="preserve"> Park</w:t>
      </w:r>
      <w:r w:rsidRPr="008C3BA5">
        <w:tab/>
      </w:r>
      <w:r w:rsidRPr="008C3BA5">
        <w:tab/>
      </w:r>
      <w:r w:rsidR="008C3BA5" w:rsidRPr="008C3BA5">
        <w:t>540</w:t>
      </w:r>
      <w:r w:rsidR="00B02A0E" w:rsidRPr="008C3BA5">
        <w:t>0</w:t>
      </w:r>
      <w:r w:rsidRPr="008C3BA5">
        <w:t>%</w:t>
      </w:r>
    </w:p>
    <w:p w14:paraId="4E69D809" w14:textId="4288835C" w:rsidR="00EE3BD3" w:rsidRPr="008C3BA5" w:rsidRDefault="00B02A0E" w:rsidP="00EE3BD3">
      <w:pPr>
        <w:keepNext/>
        <w:spacing w:after="0"/>
        <w:ind w:left="720"/>
      </w:pPr>
      <w:r w:rsidRPr="008C3BA5">
        <w:t>South Fairmount</w:t>
      </w:r>
      <w:r w:rsidRPr="008C3BA5">
        <w:tab/>
        <w:t>1</w:t>
      </w:r>
      <w:r w:rsidR="008C3BA5" w:rsidRPr="008C3BA5">
        <w:t>500</w:t>
      </w:r>
      <w:r w:rsidR="00EE3BD3" w:rsidRPr="008C3BA5">
        <w:t>%</w:t>
      </w:r>
    </w:p>
    <w:p w14:paraId="4CC5EB36" w14:textId="52813F87" w:rsidR="00D117AE" w:rsidRPr="008C3BA5" w:rsidRDefault="00D117AE" w:rsidP="00D117AE">
      <w:pPr>
        <w:keepNext/>
        <w:spacing w:after="0"/>
        <w:ind w:left="720"/>
      </w:pPr>
      <w:r w:rsidRPr="008C3BA5">
        <w:t>Villages at Roll Hill</w:t>
      </w:r>
      <w:r w:rsidRPr="008C3BA5">
        <w:tab/>
      </w:r>
      <w:r w:rsidR="00B02A0E" w:rsidRPr="008C3BA5">
        <w:t>9</w:t>
      </w:r>
      <w:r w:rsidR="009D341D" w:rsidRPr="008C3BA5">
        <w:t>67</w:t>
      </w:r>
      <w:r w:rsidRPr="008C3BA5">
        <w:t>%</w:t>
      </w:r>
    </w:p>
    <w:p w14:paraId="7C209D2A" w14:textId="0A02B540" w:rsidR="00D117AE" w:rsidRPr="008C3BA5" w:rsidRDefault="00D117AE" w:rsidP="00EE3BD3">
      <w:pPr>
        <w:keepNext/>
        <w:spacing w:after="0"/>
        <w:ind w:left="720"/>
      </w:pPr>
      <w:r w:rsidRPr="008C3BA5">
        <w:t>Millvale</w:t>
      </w:r>
      <w:r w:rsidRPr="008C3BA5">
        <w:tab/>
      </w:r>
      <w:r w:rsidRPr="008C3BA5">
        <w:tab/>
      </w:r>
      <w:r w:rsidRPr="008C3BA5">
        <w:tab/>
      </w:r>
      <w:r w:rsidR="008C3BA5" w:rsidRPr="008C3BA5">
        <w:t>9</w:t>
      </w:r>
      <w:r w:rsidR="00B02A0E" w:rsidRPr="008C3BA5">
        <w:t>0</w:t>
      </w:r>
      <w:r w:rsidRPr="008C3BA5">
        <w:t>0%</w:t>
      </w:r>
    </w:p>
    <w:p w14:paraId="20C8FDD0" w14:textId="7D5F3153" w:rsidR="00D117AE" w:rsidRDefault="00D117AE" w:rsidP="00D117AE">
      <w:pPr>
        <w:rPr>
          <w:i/>
          <w:iCs/>
        </w:rPr>
      </w:pPr>
      <w:r w:rsidRPr="00201CBD">
        <w:t xml:space="preserve">As testing becomes more widespread, we can </w:t>
      </w:r>
      <w:r w:rsidR="0007746A">
        <w:t xml:space="preserve">perhaps </w:t>
      </w:r>
      <w:r w:rsidRPr="00201CBD">
        <w:t xml:space="preserve">expect the highest percent increases </w:t>
      </w:r>
      <w:r w:rsidR="00E1189C">
        <w:t xml:space="preserve">will continue </w:t>
      </w:r>
      <w:r w:rsidRPr="00201CBD">
        <w:t>to be in this category of neighborhoods.</w:t>
      </w:r>
    </w:p>
    <w:p w14:paraId="59BDE3E9" w14:textId="77777777" w:rsidR="00D117AE" w:rsidRDefault="00D117AE" w:rsidP="00D117AE">
      <w:pPr>
        <w:rPr>
          <w:i/>
          <w:iCs/>
        </w:rPr>
        <w:sectPr w:rsidR="00D117AE">
          <w:footerReference w:type="default" r:id="rId9"/>
          <w:pgSz w:w="12240" w:h="15840"/>
          <w:pgMar w:top="1440" w:right="1440" w:bottom="1440" w:left="1440" w:header="720" w:footer="720" w:gutter="0"/>
          <w:cols w:space="720"/>
          <w:docGrid w:linePitch="360"/>
        </w:sectPr>
      </w:pPr>
    </w:p>
    <w:p w14:paraId="64DD4932" w14:textId="77777777" w:rsidR="00D117AE" w:rsidRPr="006C7744" w:rsidRDefault="00D117AE" w:rsidP="00D117AE">
      <w:pPr>
        <w:rPr>
          <w:i/>
          <w:iCs/>
        </w:rPr>
      </w:pPr>
      <w:r w:rsidRPr="0047010A">
        <w:rPr>
          <w:i/>
          <w:iCs/>
          <w:noProof/>
        </w:rPr>
        <w:lastRenderedPageBreak/>
        <w:drawing>
          <wp:inline distT="0" distB="0" distL="0" distR="0" wp14:anchorId="184DDE0E" wp14:editId="7E4C7F39">
            <wp:extent cx="8323868" cy="6073044"/>
            <wp:effectExtent l="1587" t="0" r="2858" b="2857"/>
            <wp:docPr id="3" name="Picture 2" descr="A close up of a map&#10;&#10;Description automatically generated">
              <a:extLst xmlns:a="http://schemas.openxmlformats.org/drawingml/2006/main">
                <a:ext uri="{FF2B5EF4-FFF2-40B4-BE49-F238E27FC236}">
                  <a16:creationId xmlns:a16="http://schemas.microsoft.com/office/drawing/2014/main" id="{D2C628A4-0D5D-4896-BFB2-09C78C000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map&#10;&#10;Description automatically generated">
                      <a:extLst>
                        <a:ext uri="{FF2B5EF4-FFF2-40B4-BE49-F238E27FC236}">
                          <a16:creationId xmlns:a16="http://schemas.microsoft.com/office/drawing/2014/main" id="{D2C628A4-0D5D-4896-BFB2-09C78C00026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644" t="1198" r="2492" b="9064"/>
                    <a:stretch/>
                  </pic:blipFill>
                  <pic:spPr>
                    <a:xfrm rot="16200000">
                      <a:off x="0" y="0"/>
                      <a:ext cx="8354548" cy="6095428"/>
                    </a:xfrm>
                    <a:prstGeom prst="rect">
                      <a:avLst/>
                    </a:prstGeom>
                  </pic:spPr>
                </pic:pic>
              </a:graphicData>
            </a:graphic>
          </wp:inline>
        </w:drawing>
      </w:r>
    </w:p>
    <w:p w14:paraId="162F36A1" w14:textId="77777777" w:rsidR="00785D76" w:rsidRDefault="00785D76" w:rsidP="00AA6369">
      <w:pPr>
        <w:jc w:val="right"/>
        <w:rPr>
          <w:b/>
          <w:bCs/>
          <w:i/>
          <w:iCs/>
        </w:rPr>
      </w:pPr>
    </w:p>
    <w:tbl>
      <w:tblPr>
        <w:tblW w:w="5000" w:type="pct"/>
        <w:tblLook w:val="04A0" w:firstRow="1" w:lastRow="0" w:firstColumn="1" w:lastColumn="0" w:noHBand="0" w:noVBand="1"/>
      </w:tblPr>
      <w:tblGrid>
        <w:gridCol w:w="1575"/>
        <w:gridCol w:w="457"/>
        <w:gridCol w:w="411"/>
        <w:gridCol w:w="503"/>
        <w:gridCol w:w="488"/>
        <w:gridCol w:w="486"/>
        <w:gridCol w:w="858"/>
        <w:gridCol w:w="645"/>
        <w:gridCol w:w="641"/>
        <w:gridCol w:w="475"/>
        <w:gridCol w:w="469"/>
        <w:gridCol w:w="503"/>
        <w:gridCol w:w="488"/>
        <w:gridCol w:w="486"/>
        <w:gridCol w:w="860"/>
      </w:tblGrid>
      <w:tr w:rsidR="006E6B92" w:rsidRPr="006E6B92" w14:paraId="4A5362C5" w14:textId="77777777" w:rsidTr="006E6B92">
        <w:trPr>
          <w:cantSplit/>
          <w:trHeight w:val="290"/>
        </w:trPr>
        <w:tc>
          <w:tcPr>
            <w:tcW w:w="5000" w:type="pct"/>
            <w:gridSpan w:val="15"/>
            <w:tcBorders>
              <w:top w:val="nil"/>
              <w:left w:val="single" w:sz="8" w:space="0" w:color="5B9BD5"/>
              <w:bottom w:val="single" w:sz="12" w:space="0" w:color="FFFFFF"/>
              <w:right w:val="single" w:sz="4" w:space="0" w:color="FFFFFF"/>
            </w:tcBorders>
            <w:shd w:val="clear" w:color="000000" w:fill="5B9BD5"/>
            <w:vAlign w:val="center"/>
            <w:hideMark/>
          </w:tcPr>
          <w:p w14:paraId="60BCE96A" w14:textId="1DDDFA4C" w:rsidR="006E6B92" w:rsidRPr="006E6B92" w:rsidRDefault="006E6B92" w:rsidP="006E6B92">
            <w:pPr>
              <w:spacing w:after="0" w:line="240" w:lineRule="auto"/>
              <w:jc w:val="center"/>
              <w:rPr>
                <w:rFonts w:ascii="Calibri" w:eastAsia="Times New Roman" w:hAnsi="Calibri" w:cs="Calibri"/>
                <w:b/>
                <w:bCs/>
                <w:color w:val="FFFFFF"/>
              </w:rPr>
            </w:pPr>
            <w:r w:rsidRPr="006E6B92">
              <w:rPr>
                <w:rFonts w:ascii="Calibri" w:eastAsia="Times New Roman" w:hAnsi="Calibri" w:cs="Calibri"/>
                <w:b/>
                <w:bCs/>
                <w:color w:val="FFFFFF"/>
              </w:rPr>
              <w:t>Table 5: Covid-19 Virus Confirmed Cases by Neighborhood</w:t>
            </w:r>
          </w:p>
        </w:tc>
      </w:tr>
      <w:tr w:rsidR="006E6B92" w:rsidRPr="006E6B92" w14:paraId="743B519D" w14:textId="77777777" w:rsidTr="006E6B92">
        <w:trPr>
          <w:cantSplit/>
          <w:trHeight w:val="290"/>
        </w:trPr>
        <w:tc>
          <w:tcPr>
            <w:tcW w:w="843" w:type="pct"/>
            <w:tcBorders>
              <w:top w:val="single" w:sz="4" w:space="0" w:color="FFFFFF"/>
              <w:left w:val="single" w:sz="8" w:space="0" w:color="5B9BD5"/>
              <w:bottom w:val="single" w:sz="4" w:space="0" w:color="FFFFFF"/>
              <w:right w:val="single" w:sz="4" w:space="0" w:color="FFFFFF"/>
            </w:tcBorders>
            <w:shd w:val="clear" w:color="000000" w:fill="5B9BD5"/>
            <w:vAlign w:val="center"/>
            <w:hideMark/>
          </w:tcPr>
          <w:p w14:paraId="7C01028B" w14:textId="77777777" w:rsidR="006E6B92" w:rsidRPr="006E6B92" w:rsidRDefault="006E6B92" w:rsidP="006E6B92">
            <w:pPr>
              <w:spacing w:after="0" w:line="240" w:lineRule="auto"/>
              <w:jc w:val="center"/>
              <w:rPr>
                <w:rFonts w:ascii="Calibri" w:eastAsia="Times New Roman" w:hAnsi="Calibri" w:cs="Calibri"/>
                <w:b/>
                <w:bCs/>
                <w:color w:val="FFFFFF"/>
              </w:rPr>
            </w:pPr>
            <w:r w:rsidRPr="006E6B92">
              <w:rPr>
                <w:rFonts w:ascii="Calibri" w:eastAsia="Times New Roman" w:hAnsi="Calibri" w:cs="Calibri"/>
                <w:b/>
                <w:bCs/>
                <w:color w:val="FFFFFF"/>
              </w:rPr>
              <w:t> </w:t>
            </w:r>
          </w:p>
        </w:tc>
        <w:tc>
          <w:tcPr>
            <w:tcW w:w="2059" w:type="pct"/>
            <w:gridSpan w:val="7"/>
            <w:tcBorders>
              <w:top w:val="single" w:sz="4" w:space="0" w:color="FFFFFF"/>
              <w:left w:val="single" w:sz="4" w:space="0" w:color="FFFFFF"/>
              <w:bottom w:val="single" w:sz="4" w:space="0" w:color="FFFFFF"/>
              <w:right w:val="single" w:sz="4" w:space="0" w:color="FFFFFF"/>
            </w:tcBorders>
            <w:shd w:val="clear" w:color="000000" w:fill="5B9BD5"/>
            <w:vAlign w:val="center"/>
            <w:hideMark/>
          </w:tcPr>
          <w:p w14:paraId="2D7B763F" w14:textId="54894FE4" w:rsidR="006E6B92" w:rsidRPr="006E6B92" w:rsidRDefault="006E6B92" w:rsidP="006E6B92">
            <w:pPr>
              <w:spacing w:after="0" w:line="240" w:lineRule="auto"/>
              <w:jc w:val="center"/>
              <w:rPr>
                <w:rFonts w:ascii="Calibri" w:eastAsia="Times New Roman" w:hAnsi="Calibri" w:cs="Calibri"/>
                <w:b/>
                <w:bCs/>
                <w:color w:val="FFFFFF"/>
              </w:rPr>
            </w:pPr>
            <w:r w:rsidRPr="006E6B92">
              <w:rPr>
                <w:rFonts w:ascii="Calibri" w:eastAsia="Times New Roman" w:hAnsi="Calibri" w:cs="Calibri"/>
                <w:b/>
                <w:bCs/>
                <w:color w:val="FFFFFF"/>
              </w:rPr>
              <w:t>Case Count</w:t>
            </w:r>
          </w:p>
        </w:tc>
        <w:tc>
          <w:tcPr>
            <w:tcW w:w="2098" w:type="pct"/>
            <w:gridSpan w:val="7"/>
            <w:tcBorders>
              <w:top w:val="single" w:sz="4" w:space="0" w:color="FFFFFF"/>
              <w:left w:val="single" w:sz="4" w:space="0" w:color="FFFFFF"/>
              <w:bottom w:val="single" w:sz="4" w:space="0" w:color="FFFFFF"/>
              <w:right w:val="single" w:sz="4" w:space="0" w:color="FFFFFF"/>
            </w:tcBorders>
            <w:shd w:val="clear" w:color="000000" w:fill="5B9BD5"/>
            <w:vAlign w:val="center"/>
            <w:hideMark/>
          </w:tcPr>
          <w:p w14:paraId="26ED2F46" w14:textId="4B424BB2" w:rsidR="006E6B92" w:rsidRPr="006E6B92" w:rsidRDefault="006E6B92" w:rsidP="006E6B92">
            <w:pPr>
              <w:spacing w:after="0" w:line="240" w:lineRule="auto"/>
              <w:jc w:val="center"/>
              <w:rPr>
                <w:rFonts w:ascii="Calibri" w:eastAsia="Times New Roman" w:hAnsi="Calibri" w:cs="Calibri"/>
                <w:b/>
                <w:bCs/>
                <w:color w:val="FFFFFF"/>
              </w:rPr>
            </w:pPr>
            <w:r w:rsidRPr="006E6B92">
              <w:rPr>
                <w:rFonts w:ascii="Calibri" w:eastAsia="Times New Roman" w:hAnsi="Calibri" w:cs="Calibri"/>
                <w:b/>
                <w:bCs/>
                <w:color w:val="FFFFFF"/>
              </w:rPr>
              <w:t>Case Count</w:t>
            </w:r>
          </w:p>
        </w:tc>
      </w:tr>
      <w:tr w:rsidR="006E6B92" w:rsidRPr="006E6B92" w14:paraId="0E84E45F" w14:textId="77777777" w:rsidTr="006E6B92">
        <w:trPr>
          <w:cantSplit/>
          <w:trHeight w:val="430"/>
        </w:trPr>
        <w:tc>
          <w:tcPr>
            <w:tcW w:w="843" w:type="pct"/>
            <w:tcBorders>
              <w:top w:val="single" w:sz="4" w:space="0" w:color="FFFFFF"/>
              <w:left w:val="single" w:sz="8" w:space="0" w:color="5B9BD5"/>
              <w:bottom w:val="single" w:sz="8" w:space="0" w:color="5B9BD5"/>
              <w:right w:val="single" w:sz="4" w:space="0" w:color="FFFFFF"/>
            </w:tcBorders>
            <w:shd w:val="clear" w:color="000000" w:fill="5B9BD5"/>
            <w:vAlign w:val="center"/>
            <w:hideMark/>
          </w:tcPr>
          <w:p w14:paraId="22B6F54A" w14:textId="77777777" w:rsidR="006E6B92" w:rsidRPr="006E6B92" w:rsidRDefault="006E6B92" w:rsidP="006E6B92">
            <w:pPr>
              <w:spacing w:after="0" w:line="240" w:lineRule="auto"/>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Neighborhood</w:t>
            </w:r>
          </w:p>
        </w:tc>
        <w:tc>
          <w:tcPr>
            <w:tcW w:w="245"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5FECD818"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1-Jun</w:t>
            </w:r>
          </w:p>
        </w:tc>
        <w:tc>
          <w:tcPr>
            <w:tcW w:w="220"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1C2B041C"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7-Jul</w:t>
            </w:r>
          </w:p>
        </w:tc>
        <w:tc>
          <w:tcPr>
            <w:tcW w:w="269"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39497586" w14:textId="77777777" w:rsidR="006E6B92" w:rsidRPr="006E6B92" w:rsidRDefault="006E6B92" w:rsidP="006E6B92">
            <w:pPr>
              <w:spacing w:after="0" w:line="240" w:lineRule="auto"/>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13-Aug</w:t>
            </w:r>
          </w:p>
        </w:tc>
        <w:tc>
          <w:tcPr>
            <w:tcW w:w="261"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522E56DE"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14-Sep</w:t>
            </w:r>
          </w:p>
        </w:tc>
        <w:tc>
          <w:tcPr>
            <w:tcW w:w="260"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56C75D89"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14-Oct</w:t>
            </w:r>
          </w:p>
        </w:tc>
        <w:tc>
          <w:tcPr>
            <w:tcW w:w="459"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395C3746"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w:t>
            </w:r>
            <w:proofErr w:type="spellStart"/>
            <w:r w:rsidRPr="006E6B92">
              <w:rPr>
                <w:rFonts w:ascii="Calibri" w:eastAsia="Times New Roman" w:hAnsi="Calibri" w:cs="Calibri"/>
                <w:b/>
                <w:bCs/>
                <w:color w:val="FFFFFF"/>
                <w:sz w:val="16"/>
                <w:szCs w:val="16"/>
              </w:rPr>
              <w:t>Inc</w:t>
            </w:r>
            <w:proofErr w:type="spellEnd"/>
          </w:p>
        </w:tc>
        <w:tc>
          <w:tcPr>
            <w:tcW w:w="688" w:type="pct"/>
            <w:gridSpan w:val="2"/>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21C13E7D" w14:textId="77777777" w:rsidR="006E6B92" w:rsidRPr="006E6B92" w:rsidRDefault="006E6B92" w:rsidP="006E6B92">
            <w:pPr>
              <w:spacing w:after="0" w:line="240" w:lineRule="auto"/>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Neighborhood</w:t>
            </w:r>
          </w:p>
        </w:tc>
        <w:tc>
          <w:tcPr>
            <w:tcW w:w="254"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0D8714E2"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1-Jun</w:t>
            </w:r>
          </w:p>
        </w:tc>
        <w:tc>
          <w:tcPr>
            <w:tcW w:w="251"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1238E2EB"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7-Jul</w:t>
            </w:r>
          </w:p>
        </w:tc>
        <w:tc>
          <w:tcPr>
            <w:tcW w:w="269"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2B66096B"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13-Aug</w:t>
            </w:r>
          </w:p>
        </w:tc>
        <w:tc>
          <w:tcPr>
            <w:tcW w:w="261"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0484229E"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14-Sep</w:t>
            </w:r>
          </w:p>
        </w:tc>
        <w:tc>
          <w:tcPr>
            <w:tcW w:w="260" w:type="pct"/>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5C30CB95"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14-Oct</w:t>
            </w:r>
          </w:p>
        </w:tc>
        <w:tc>
          <w:tcPr>
            <w:tcW w:w="459" w:type="pct"/>
            <w:tcBorders>
              <w:top w:val="single" w:sz="4" w:space="0" w:color="FFFFFF"/>
              <w:left w:val="single" w:sz="4" w:space="0" w:color="FFFFFF"/>
              <w:bottom w:val="single" w:sz="8" w:space="0" w:color="5B9BD5"/>
              <w:right w:val="single" w:sz="8" w:space="0" w:color="5B9BD5"/>
            </w:tcBorders>
            <w:shd w:val="clear" w:color="000000" w:fill="5B9BD5"/>
            <w:vAlign w:val="center"/>
            <w:hideMark/>
          </w:tcPr>
          <w:p w14:paraId="56FEF835" w14:textId="77777777" w:rsidR="006E6B92" w:rsidRPr="006E6B92" w:rsidRDefault="006E6B92" w:rsidP="006E6B92">
            <w:pPr>
              <w:spacing w:after="0" w:line="240" w:lineRule="auto"/>
              <w:jc w:val="center"/>
              <w:rPr>
                <w:rFonts w:ascii="Calibri" w:eastAsia="Times New Roman" w:hAnsi="Calibri" w:cs="Calibri"/>
                <w:b/>
                <w:bCs/>
                <w:color w:val="FFFFFF"/>
                <w:sz w:val="16"/>
                <w:szCs w:val="16"/>
              </w:rPr>
            </w:pPr>
            <w:r w:rsidRPr="006E6B92">
              <w:rPr>
                <w:rFonts w:ascii="Calibri" w:eastAsia="Times New Roman" w:hAnsi="Calibri" w:cs="Calibri"/>
                <w:b/>
                <w:bCs/>
                <w:color w:val="FFFFFF"/>
                <w:sz w:val="16"/>
                <w:szCs w:val="16"/>
              </w:rPr>
              <w:t>%</w:t>
            </w:r>
            <w:proofErr w:type="spellStart"/>
            <w:r w:rsidRPr="006E6B92">
              <w:rPr>
                <w:rFonts w:ascii="Calibri" w:eastAsia="Times New Roman" w:hAnsi="Calibri" w:cs="Calibri"/>
                <w:b/>
                <w:bCs/>
                <w:color w:val="FFFFFF"/>
                <w:sz w:val="16"/>
                <w:szCs w:val="16"/>
              </w:rPr>
              <w:t>Inc</w:t>
            </w:r>
            <w:proofErr w:type="spellEnd"/>
          </w:p>
        </w:tc>
      </w:tr>
      <w:tr w:rsidR="006E6B92" w:rsidRPr="006E6B92" w14:paraId="3711040A"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B39BF32" w14:textId="77777777" w:rsidR="006E6B92" w:rsidRPr="006E6B92" w:rsidRDefault="006E6B92" w:rsidP="006E6B92">
            <w:pPr>
              <w:spacing w:after="0" w:line="240" w:lineRule="auto"/>
              <w:rPr>
                <w:rFonts w:ascii="Calibri" w:eastAsia="Times New Roman" w:hAnsi="Calibri" w:cs="Calibri"/>
                <w:color w:val="000000"/>
                <w:sz w:val="16"/>
                <w:szCs w:val="16"/>
              </w:rPr>
            </w:pPr>
            <w:proofErr w:type="spellStart"/>
            <w:r w:rsidRPr="006E6B92">
              <w:rPr>
                <w:rFonts w:ascii="Calibri" w:eastAsia="Times New Roman" w:hAnsi="Calibri" w:cs="Calibri"/>
                <w:color w:val="000000"/>
                <w:sz w:val="16"/>
                <w:szCs w:val="16"/>
              </w:rPr>
              <w:t>Queensgate</w:t>
            </w:r>
            <w:proofErr w:type="spellEnd"/>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1689AD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509BE8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69" w:type="pct"/>
            <w:tcBorders>
              <w:top w:val="single" w:sz="8" w:space="0" w:color="5B9BD5"/>
              <w:left w:val="single" w:sz="8" w:space="0" w:color="9CC2E5"/>
              <w:bottom w:val="single" w:sz="8" w:space="0" w:color="9CC2E5"/>
              <w:right w:val="single" w:sz="4" w:space="0" w:color="FFFFFF"/>
            </w:tcBorders>
            <w:shd w:val="clear" w:color="000000" w:fill="DEEAF6"/>
            <w:vAlign w:val="center"/>
            <w:hideMark/>
          </w:tcPr>
          <w:p w14:paraId="11DEAA91"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4243A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729783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CF5B21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100.00%</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BD1915" w14:textId="77777777" w:rsidR="006E6B92" w:rsidRPr="006E6B92" w:rsidRDefault="006E6B92" w:rsidP="006E6B92">
            <w:pPr>
              <w:spacing w:after="0" w:line="240" w:lineRule="auto"/>
              <w:rPr>
                <w:rFonts w:ascii="Calibri" w:eastAsia="Times New Roman" w:hAnsi="Calibri" w:cs="Calibri"/>
                <w:color w:val="000000"/>
                <w:sz w:val="16"/>
                <w:szCs w:val="16"/>
              </w:rPr>
            </w:pPr>
            <w:proofErr w:type="spellStart"/>
            <w:r w:rsidRPr="006E6B92">
              <w:rPr>
                <w:rFonts w:ascii="Calibri" w:eastAsia="Times New Roman" w:hAnsi="Calibri" w:cs="Calibri"/>
                <w:color w:val="000000"/>
                <w:sz w:val="16"/>
                <w:szCs w:val="16"/>
              </w:rPr>
              <w:t>Roselawn</w:t>
            </w:r>
            <w:proofErr w:type="spellEnd"/>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9780B7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D5D20C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65</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BF945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114</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8AB895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125</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7C12C2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145</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8C84BC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625.00%</w:t>
            </w:r>
          </w:p>
        </w:tc>
      </w:tr>
      <w:tr w:rsidR="006E6B92" w:rsidRPr="006E6B92" w14:paraId="22DD566C"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22D4C42F"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West End</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776FCA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13</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AC7EB7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63</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329FEDD2"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95</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C736BB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106</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2F8A1A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114</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75D55E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776.92%</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2B59CDE"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Bond Hill</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C4FC69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29</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B8275C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93</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6EE4FB5"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132</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F748D8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140</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5652A8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158</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1E9F9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444.83%</w:t>
            </w:r>
          </w:p>
        </w:tc>
      </w:tr>
      <w:tr w:rsidR="006E6B92" w:rsidRPr="006E6B92" w14:paraId="0773E54F" w14:textId="77777777" w:rsidTr="006E6B92">
        <w:trPr>
          <w:cantSplit/>
          <w:trHeight w:val="64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0493CA9"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CBD-Riverfront</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4A8E78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EC7E2F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38</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655BEAC9"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105</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24B09E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119</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3C8619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166</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95513A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1744.44%</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FDEFAA7"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N. Avondale – Paddock Hills</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842B97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2D24AE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25</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8F26C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51</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6CF6B0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57</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E48962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65</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B4FDA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828.57%</w:t>
            </w:r>
          </w:p>
        </w:tc>
      </w:tr>
      <w:tr w:rsidR="006E6B92" w:rsidRPr="006E6B92" w14:paraId="3459B5DA"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430C1EC"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Over-the-Rhine</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D8C336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69BF65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50</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08473DBB"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85</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017F0A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93</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177CF3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111</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566D8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1485.71%</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AB5362D"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Avondale</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4EC3D8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47</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601547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122</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C1111D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186</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5E67E6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220</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68C4E3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243</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FA0BC0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417.02%</w:t>
            </w:r>
          </w:p>
        </w:tc>
      </w:tr>
      <w:tr w:rsidR="006E6B92" w:rsidRPr="006E6B92" w14:paraId="64734ED9"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0A24236"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Mt. Adams</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BD2FF8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0</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A2169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4D49874E"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8</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8D89D1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910635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25</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BEBE9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#DIV/0!</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A382F8"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Clifton</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FE4608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758CFD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38</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52999E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70</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0150D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81</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587048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91</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7C4656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405.56%</w:t>
            </w:r>
          </w:p>
        </w:tc>
      </w:tr>
      <w:tr w:rsidR="006E6B92" w:rsidRPr="006E6B92" w14:paraId="212F2646"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6A4D5A4"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Mt. Auburn</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CA4C34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7E363D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39</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3978FC41"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69</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1720D5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85</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F76F0F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103</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07014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836.36%</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4C900EC"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Spring Grove Village</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E35286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85D2E3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17</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9C2286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25</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893E08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26</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C18E22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30</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1A9911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500.00%</w:t>
            </w:r>
          </w:p>
        </w:tc>
      </w:tr>
      <w:tr w:rsidR="006E6B92" w:rsidRPr="006E6B92" w14:paraId="02564B41" w14:textId="77777777" w:rsidTr="006E6B92">
        <w:trPr>
          <w:cantSplit/>
          <w:trHeight w:val="85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8DC10E4"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Clifton/University Heights—Fairview (CUF)</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D80BCE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EDC3EC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45</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1261A6CC"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128</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748AAA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376</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9C80B55"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583</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A6791F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6377.78%</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257CBFC"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Northside</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D3943C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17</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EB3E0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43</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3B8817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70</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4B9F0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85</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8209F7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89</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93775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423.53%</w:t>
            </w:r>
          </w:p>
        </w:tc>
      </w:tr>
      <w:tr w:rsidR="006E6B92" w:rsidRPr="006E6B92" w14:paraId="4802CB28"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4391BFC0"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Camp Washington</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975F90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DDE5415"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654C96B9"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20</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63F230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22</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F2FABF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22</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E6110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1000.00%</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F292193"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 xml:space="preserve">S. </w:t>
            </w:r>
            <w:proofErr w:type="spellStart"/>
            <w:r w:rsidRPr="006E6B92">
              <w:rPr>
                <w:rFonts w:ascii="Calibri" w:eastAsia="Times New Roman" w:hAnsi="Calibri" w:cs="Calibri"/>
                <w:color w:val="000000"/>
                <w:sz w:val="16"/>
                <w:szCs w:val="16"/>
              </w:rPr>
              <w:t>Cumminsville</w:t>
            </w:r>
            <w:proofErr w:type="spellEnd"/>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7F9D5E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690B08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7D1E7B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AB23C4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15</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2C04F5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16</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6B139C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433.33%</w:t>
            </w:r>
          </w:p>
        </w:tc>
      </w:tr>
      <w:tr w:rsidR="006E6B92" w:rsidRPr="006E6B92" w14:paraId="26AD0F2E"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E389007" w14:textId="77777777" w:rsidR="006E6B92" w:rsidRPr="006E6B92" w:rsidRDefault="006E6B92" w:rsidP="006E6B92">
            <w:pPr>
              <w:spacing w:after="0" w:line="240" w:lineRule="auto"/>
              <w:rPr>
                <w:rFonts w:ascii="Calibri" w:eastAsia="Times New Roman" w:hAnsi="Calibri" w:cs="Calibri"/>
                <w:color w:val="000000"/>
                <w:sz w:val="16"/>
                <w:szCs w:val="16"/>
              </w:rPr>
            </w:pPr>
            <w:proofErr w:type="spellStart"/>
            <w:r w:rsidRPr="006E6B92">
              <w:rPr>
                <w:rFonts w:ascii="Calibri" w:eastAsia="Times New Roman" w:hAnsi="Calibri" w:cs="Calibri"/>
                <w:color w:val="000000"/>
                <w:sz w:val="16"/>
                <w:szCs w:val="16"/>
              </w:rPr>
              <w:t>Corryville</w:t>
            </w:r>
            <w:proofErr w:type="spellEnd"/>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AFA35D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BF1002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13</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67A0B495"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31</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B3CAA3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90</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15BFED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138</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14D452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4500.00%</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C635724"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Winton Hills</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A12E13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155B17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34</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F8744C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52</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6678D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56</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D375F5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64</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051A17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433.33%</w:t>
            </w:r>
          </w:p>
        </w:tc>
      </w:tr>
      <w:tr w:rsidR="006E6B92" w:rsidRPr="006E6B92" w14:paraId="5A408919"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82C1839"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Evanston</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EAA2B9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19</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157BE8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61</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2E3576D2"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106</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41C231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127</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67B0A2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181</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941BAC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852.63%</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9A870F6"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College Hill</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E027E6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45</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0B945E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162</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EBBD07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229</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639306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261</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B0200A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296</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DF294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557.78%</w:t>
            </w:r>
          </w:p>
        </w:tc>
      </w:tr>
      <w:tr w:rsidR="006E6B92" w:rsidRPr="006E6B92" w14:paraId="075728CC"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8D87645"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E. Walnut Hills</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3E2E6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85F5B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653022FA"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34</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2BAC53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41</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22B794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57</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D8BDD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612.50%</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F897AF"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Mt. Airy</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4DFEA9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40</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D3790C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127</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7B9E7A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190</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F9B95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206</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447B16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226</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D6E30E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465.00%</w:t>
            </w:r>
          </w:p>
        </w:tc>
      </w:tr>
      <w:tr w:rsidR="006E6B92" w:rsidRPr="006E6B92" w14:paraId="327F870D"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5C4DEF8"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Walnut Hills</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CAAA72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9DBAC4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56</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1B6D1E93"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84</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43AADC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95</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A29132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108</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4D11FB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440.00%</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5BB0ADF"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Villages at Roll Hill</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39CE0D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46B153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22</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B19A8C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29</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26CFDA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32</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A4B2F2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32</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15CDC6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966.67%</w:t>
            </w:r>
          </w:p>
        </w:tc>
      </w:tr>
      <w:tr w:rsidR="006E6B92" w:rsidRPr="006E6B92" w14:paraId="674238E7"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16CC354"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East End</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48E63E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0</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59B6E7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36E95AAB"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6</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4815A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572B49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10</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866B9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#DIV/0!</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BDAEAFC"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N. Fairmount</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75789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D9F6DA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19</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3D853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24</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B2D678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25</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7E87A6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29</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CABD61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480.00%</w:t>
            </w:r>
          </w:p>
        </w:tc>
      </w:tr>
      <w:tr w:rsidR="006E6B92" w:rsidRPr="006E6B92" w14:paraId="17734ED4"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28DE76E"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California</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8F46E4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0</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4379BC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44609A34"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1</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908A67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BE6FA7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722D1B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#DIV/0!</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DD50FE9"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S. Fairmount</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1D025B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944205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32</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59AA12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45</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824F0F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47</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C3D1C7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48</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F7A71F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1500.00%</w:t>
            </w:r>
          </w:p>
        </w:tc>
      </w:tr>
      <w:tr w:rsidR="006E6B92" w:rsidRPr="006E6B92" w14:paraId="0F367B9C"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3DA3C7C0"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Mt. Washington</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F32D51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27</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C2579A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55</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74B881CF"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86</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558DE8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114</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D5CE1E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146</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F52B84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440.74%</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753EF5"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Lower Price Hill</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FD26C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C6729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16</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5270F4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68108E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F3E788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AA2B64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125.00%</w:t>
            </w:r>
          </w:p>
        </w:tc>
      </w:tr>
      <w:tr w:rsidR="006E6B92" w:rsidRPr="006E6B92" w14:paraId="0062959B"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830D8A7"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Columbia-Tusculum</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4F4555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C7B8A5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5A76A589"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6</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4B95DB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64C6935"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C6CCD2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1900.00%</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50816A8"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East Price Hill</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25A06A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154</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2BEAD9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224</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815F05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272</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CB210D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293</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63C329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312</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E6E814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102.60%</w:t>
            </w:r>
          </w:p>
        </w:tc>
      </w:tr>
      <w:tr w:rsidR="006E6B92" w:rsidRPr="006E6B92" w14:paraId="73820D43"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11204BE"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Mt. Lookout</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B4CD80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E082EB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14</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3AF57986"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35</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43EF5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65</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742628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88</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CBBC0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877.78%</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AF9153B"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West Price Hill</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0B07D95"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114</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DCE8E6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198</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3AC88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292</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22B060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325</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794375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384</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C1B6F1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236.84%</w:t>
            </w:r>
          </w:p>
        </w:tc>
      </w:tr>
      <w:tr w:rsidR="006E6B92" w:rsidRPr="006E6B92" w14:paraId="6ADFEE2B"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F43B4DB"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Linwood</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37E169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735814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3AAEA777"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95B4C0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E81AE6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00C357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500.00%</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F6B7809"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Westwood</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8E8C37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209</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49F900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451</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865810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617</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9131E7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692</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D8494E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757</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251E58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262.20%</w:t>
            </w:r>
          </w:p>
        </w:tc>
      </w:tr>
      <w:tr w:rsidR="006E6B92" w:rsidRPr="006E6B92" w14:paraId="35058874"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BC0DE4F"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Hyde Park</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11D4BC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BEFD06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35</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3A1BD0F8"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92</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82C9F2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140</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2E3361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205</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19F322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925.00%</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52D5AE" w14:textId="77777777" w:rsidR="006E6B92" w:rsidRPr="006E6B92" w:rsidRDefault="006E6B92" w:rsidP="006E6B92">
            <w:pPr>
              <w:spacing w:after="0" w:line="240" w:lineRule="auto"/>
              <w:rPr>
                <w:rFonts w:ascii="Calibri" w:eastAsia="Times New Roman" w:hAnsi="Calibri" w:cs="Calibri"/>
                <w:color w:val="000000"/>
                <w:sz w:val="16"/>
                <w:szCs w:val="16"/>
              </w:rPr>
            </w:pPr>
            <w:proofErr w:type="spellStart"/>
            <w:r w:rsidRPr="006E6B92">
              <w:rPr>
                <w:rFonts w:ascii="Calibri" w:eastAsia="Times New Roman" w:hAnsi="Calibri" w:cs="Calibri"/>
                <w:color w:val="000000"/>
                <w:sz w:val="16"/>
                <w:szCs w:val="16"/>
              </w:rPr>
              <w:t>Sedamsville</w:t>
            </w:r>
            <w:proofErr w:type="spellEnd"/>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BDC6F2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A1A14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DB6219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F34CD5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7B76BB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2AAFF0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300.00%</w:t>
            </w:r>
          </w:p>
        </w:tc>
      </w:tr>
      <w:tr w:rsidR="006E6B92" w:rsidRPr="006E6B92" w14:paraId="4EE6797B"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050A1BC"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Oakley</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05969B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29</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13A333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56</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50CC216B"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114</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22AEE8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159</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40E413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215</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E7772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641.38%</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7D1D24E" w14:textId="77777777" w:rsidR="006E6B92" w:rsidRPr="006E6B92" w:rsidRDefault="006E6B92" w:rsidP="006E6B92">
            <w:pPr>
              <w:spacing w:after="0" w:line="240" w:lineRule="auto"/>
              <w:rPr>
                <w:rFonts w:ascii="Calibri" w:eastAsia="Times New Roman" w:hAnsi="Calibri" w:cs="Calibri"/>
                <w:color w:val="000000"/>
                <w:sz w:val="16"/>
                <w:szCs w:val="16"/>
              </w:rPr>
            </w:pPr>
            <w:proofErr w:type="spellStart"/>
            <w:r w:rsidRPr="006E6B92">
              <w:rPr>
                <w:rFonts w:ascii="Calibri" w:eastAsia="Times New Roman" w:hAnsi="Calibri" w:cs="Calibri"/>
                <w:color w:val="000000"/>
                <w:sz w:val="16"/>
                <w:szCs w:val="16"/>
              </w:rPr>
              <w:t>Sayler</w:t>
            </w:r>
            <w:proofErr w:type="spellEnd"/>
            <w:r w:rsidRPr="006E6B92">
              <w:rPr>
                <w:rFonts w:ascii="Calibri" w:eastAsia="Times New Roman" w:hAnsi="Calibri" w:cs="Calibri"/>
                <w:color w:val="000000"/>
                <w:sz w:val="16"/>
                <w:szCs w:val="16"/>
              </w:rPr>
              <w:t xml:space="preserve"> Park</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77DBF5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E2277F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B615F9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21</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19D701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39</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FE2C20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55</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939866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5400.00%</w:t>
            </w:r>
          </w:p>
        </w:tc>
      </w:tr>
      <w:tr w:rsidR="006E6B92" w:rsidRPr="006E6B92" w14:paraId="70407484"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ACF4FE0"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Madisonville</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E384FA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55205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56</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49C7C0D7"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108</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F3DDA4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118</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2EB143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159</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73F7B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783.33%</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EF42BD6"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East Westwood</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842753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21</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980CA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40</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C2A7A0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52</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980EB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53</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879A12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56</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D2930C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166.67%</w:t>
            </w:r>
          </w:p>
        </w:tc>
      </w:tr>
      <w:tr w:rsidR="006E6B92" w:rsidRPr="006E6B92" w14:paraId="09BC1F8D"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3C2D753"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Pleasant Ridge</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4CB703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60</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B9D629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84</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3FDD49C6"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108</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7640CD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121</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44E759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143</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103077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138.33%</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C431F20"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Pendleton</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60DEADC"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0</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EF7EAC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7F629F5"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17</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9B48428"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D3EB87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21</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A368C9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#DIV/0!</w:t>
            </w:r>
          </w:p>
        </w:tc>
      </w:tr>
      <w:tr w:rsidR="006E6B92" w:rsidRPr="006E6B92" w14:paraId="54F52543" w14:textId="77777777" w:rsidTr="006E6B92">
        <w:trPr>
          <w:cantSplit/>
          <w:trHeight w:val="43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1131B86"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Kennedy Heights</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513991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BE567D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45</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2ACD8470"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69</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95E94B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76</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C7C8DD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92</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1597A7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360.00%</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0BD1F5F"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English Woods</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269530F"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DA42E3A"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E8E67B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2DF966"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6C5AC0D"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663B14"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600.00%</w:t>
            </w:r>
          </w:p>
        </w:tc>
      </w:tr>
      <w:tr w:rsidR="006E6B92" w:rsidRPr="006E6B92" w14:paraId="10D4D632" w14:textId="77777777" w:rsidTr="006E6B92">
        <w:trPr>
          <w:cantSplit/>
          <w:trHeight w:val="300"/>
        </w:trPr>
        <w:tc>
          <w:tcPr>
            <w:tcW w:w="843" w:type="pct"/>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BA3619E"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Hartwell</w:t>
            </w:r>
          </w:p>
        </w:tc>
        <w:tc>
          <w:tcPr>
            <w:tcW w:w="245"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5E4C1EB"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42</w:t>
            </w:r>
          </w:p>
        </w:tc>
        <w:tc>
          <w:tcPr>
            <w:tcW w:w="220"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3F00DD7"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78</w:t>
            </w:r>
          </w:p>
        </w:tc>
        <w:tc>
          <w:tcPr>
            <w:tcW w:w="269" w:type="pct"/>
            <w:tcBorders>
              <w:top w:val="single" w:sz="8" w:space="0" w:color="9CC2E5"/>
              <w:left w:val="single" w:sz="8" w:space="0" w:color="9CC2E5"/>
              <w:bottom w:val="single" w:sz="8" w:space="0" w:color="9CC2E5"/>
              <w:right w:val="single" w:sz="4" w:space="0" w:color="FFFFFF"/>
            </w:tcBorders>
            <w:shd w:val="clear" w:color="D9E1F2" w:fill="D9E1F2"/>
            <w:vAlign w:val="center"/>
            <w:hideMark/>
          </w:tcPr>
          <w:p w14:paraId="3B4FD729"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105</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0FE0283"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108</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BB2FB1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120</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56536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185.71%</w:t>
            </w:r>
          </w:p>
        </w:tc>
        <w:tc>
          <w:tcPr>
            <w:tcW w:w="688" w:type="pct"/>
            <w:gridSpan w:val="2"/>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6C988EA" w14:textId="77777777" w:rsidR="006E6B92" w:rsidRPr="006E6B92" w:rsidRDefault="006E6B92" w:rsidP="006E6B92">
            <w:pPr>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Riverside</w:t>
            </w:r>
          </w:p>
        </w:tc>
        <w:tc>
          <w:tcPr>
            <w:tcW w:w="254"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C9664F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w:t>
            </w:r>
          </w:p>
        </w:tc>
        <w:tc>
          <w:tcPr>
            <w:tcW w:w="25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0AB5150"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5</w:t>
            </w:r>
          </w:p>
        </w:tc>
        <w:tc>
          <w:tcPr>
            <w:tcW w:w="269"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75B22C9"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14</w:t>
            </w:r>
          </w:p>
        </w:tc>
        <w:tc>
          <w:tcPr>
            <w:tcW w:w="261" w:type="pct"/>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E523FC1"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19</w:t>
            </w:r>
          </w:p>
        </w:tc>
        <w:tc>
          <w:tcPr>
            <w:tcW w:w="260" w:type="pct"/>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4649492"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23</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A48D7E" w14:textId="77777777" w:rsidR="006E6B92" w:rsidRPr="006E6B92" w:rsidRDefault="006E6B92" w:rsidP="006E6B92">
            <w:pPr>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666.67%</w:t>
            </w:r>
          </w:p>
        </w:tc>
      </w:tr>
      <w:tr w:rsidR="006E6B92" w:rsidRPr="006E6B92" w14:paraId="30543B69" w14:textId="77777777" w:rsidTr="006E6B92">
        <w:trPr>
          <w:cantSplit/>
          <w:trHeight w:val="290"/>
        </w:trPr>
        <w:tc>
          <w:tcPr>
            <w:tcW w:w="843" w:type="pct"/>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5029F136" w14:textId="77777777" w:rsidR="006E6B92" w:rsidRPr="006E6B92" w:rsidRDefault="006E6B92" w:rsidP="006E6B92">
            <w:pPr>
              <w:keepNext/>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Carthage</w:t>
            </w:r>
          </w:p>
        </w:tc>
        <w:tc>
          <w:tcPr>
            <w:tcW w:w="245"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179588"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w:t>
            </w:r>
          </w:p>
        </w:tc>
        <w:tc>
          <w:tcPr>
            <w:tcW w:w="220"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7D07858"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23</w:t>
            </w:r>
          </w:p>
        </w:tc>
        <w:tc>
          <w:tcPr>
            <w:tcW w:w="269" w:type="pct"/>
            <w:tcBorders>
              <w:top w:val="single" w:sz="8" w:space="0" w:color="9CC2E5"/>
              <w:left w:val="single" w:sz="8" w:space="0" w:color="9CC2E5"/>
              <w:bottom w:val="single" w:sz="8" w:space="0" w:color="9CC2E5"/>
              <w:right w:val="single" w:sz="4" w:space="0" w:color="FFFFFF"/>
            </w:tcBorders>
            <w:shd w:val="clear" w:color="000000" w:fill="DEEAF6"/>
            <w:vAlign w:val="center"/>
            <w:hideMark/>
          </w:tcPr>
          <w:p w14:paraId="23A59E37" w14:textId="77777777" w:rsidR="006E6B92" w:rsidRPr="006E6B92" w:rsidRDefault="006E6B92" w:rsidP="006E6B92">
            <w:pPr>
              <w:keepNext/>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29</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3B35A15"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33</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29390A7"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41</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2112E9"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272.73%</w:t>
            </w:r>
          </w:p>
        </w:tc>
        <w:tc>
          <w:tcPr>
            <w:tcW w:w="688" w:type="pct"/>
            <w:gridSpan w:val="2"/>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9DF4FFC" w14:textId="77777777" w:rsidR="006E6B92" w:rsidRPr="006E6B92" w:rsidRDefault="006E6B92" w:rsidP="006E6B92">
            <w:pPr>
              <w:keepNext/>
              <w:spacing w:after="0" w:line="240" w:lineRule="auto"/>
              <w:rPr>
                <w:rFonts w:ascii="Calibri" w:eastAsia="Times New Roman" w:hAnsi="Calibri" w:cs="Calibri"/>
                <w:color w:val="000000"/>
                <w:sz w:val="16"/>
                <w:szCs w:val="16"/>
              </w:rPr>
            </w:pPr>
            <w:r w:rsidRPr="006E6B92">
              <w:rPr>
                <w:rFonts w:ascii="Calibri" w:eastAsia="Times New Roman" w:hAnsi="Calibri" w:cs="Calibri"/>
                <w:color w:val="000000"/>
                <w:sz w:val="16"/>
                <w:szCs w:val="16"/>
              </w:rPr>
              <w:t>Millvale</w:t>
            </w:r>
          </w:p>
        </w:tc>
        <w:tc>
          <w:tcPr>
            <w:tcW w:w="254"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70C3A21"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w:t>
            </w:r>
          </w:p>
        </w:tc>
        <w:tc>
          <w:tcPr>
            <w:tcW w:w="25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B1EFE0C"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11</w:t>
            </w:r>
          </w:p>
        </w:tc>
        <w:tc>
          <w:tcPr>
            <w:tcW w:w="26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F04E827"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17</w:t>
            </w:r>
          </w:p>
        </w:tc>
        <w:tc>
          <w:tcPr>
            <w:tcW w:w="261"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4AF92E"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18</w:t>
            </w:r>
          </w:p>
        </w:tc>
        <w:tc>
          <w:tcPr>
            <w:tcW w:w="260" w:type="pct"/>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94651D3"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20</w:t>
            </w:r>
          </w:p>
        </w:tc>
        <w:tc>
          <w:tcPr>
            <w:tcW w:w="459" w:type="pct"/>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BDC5A5" w14:textId="77777777" w:rsidR="006E6B92" w:rsidRPr="006E6B92" w:rsidRDefault="006E6B92" w:rsidP="006E6B92">
            <w:pPr>
              <w:keepNext/>
              <w:spacing w:after="0" w:line="240" w:lineRule="auto"/>
              <w:jc w:val="right"/>
              <w:rPr>
                <w:rFonts w:ascii="Calibri" w:eastAsia="Times New Roman" w:hAnsi="Calibri" w:cs="Calibri"/>
                <w:color w:val="000000"/>
                <w:sz w:val="16"/>
                <w:szCs w:val="16"/>
              </w:rPr>
            </w:pPr>
            <w:r w:rsidRPr="006E6B92">
              <w:rPr>
                <w:rFonts w:ascii="Calibri" w:eastAsia="Times New Roman" w:hAnsi="Calibri" w:cs="Calibri"/>
                <w:color w:val="000000"/>
                <w:sz w:val="16"/>
                <w:szCs w:val="16"/>
              </w:rPr>
              <w:t>900.00%</w:t>
            </w:r>
          </w:p>
        </w:tc>
      </w:tr>
    </w:tbl>
    <w:p w14:paraId="0FDCDBB0" w14:textId="4A327961" w:rsidR="00AF2D31" w:rsidRDefault="00AA6369" w:rsidP="00AA6369">
      <w:pPr>
        <w:jc w:val="right"/>
        <w:rPr>
          <w:i/>
          <w:iCs/>
        </w:rPr>
      </w:pPr>
      <w:r w:rsidRPr="00AA6369">
        <w:rPr>
          <w:b/>
          <w:bCs/>
          <w:i/>
          <w:iCs/>
        </w:rPr>
        <w:t>Source:</w:t>
      </w:r>
      <w:r w:rsidRPr="00AA6369">
        <w:rPr>
          <w:i/>
          <w:iCs/>
        </w:rPr>
        <w:t xml:space="preserve"> Cincinnati Health Department June 1, July 7</w:t>
      </w:r>
      <w:r w:rsidR="00362F50">
        <w:rPr>
          <w:i/>
          <w:iCs/>
        </w:rPr>
        <w:t xml:space="preserve">, August </w:t>
      </w:r>
      <w:r w:rsidR="00031276">
        <w:rPr>
          <w:i/>
          <w:iCs/>
        </w:rPr>
        <w:t>13</w:t>
      </w:r>
      <w:r w:rsidR="00785D76">
        <w:rPr>
          <w:i/>
          <w:iCs/>
        </w:rPr>
        <w:t>, September 14</w:t>
      </w:r>
      <w:r w:rsidR="00BE3B92">
        <w:rPr>
          <w:i/>
          <w:iCs/>
        </w:rPr>
        <w:t>, October 14</w:t>
      </w:r>
    </w:p>
    <w:p w14:paraId="025E7E7B" w14:textId="796B69E2" w:rsidR="00D117AE" w:rsidRDefault="0007746A" w:rsidP="00D117AE">
      <w:pPr>
        <w:rPr>
          <w:i/>
          <w:iCs/>
        </w:rPr>
      </w:pPr>
      <w:r w:rsidRPr="0007746A">
        <w:rPr>
          <w:b/>
          <w:bCs/>
          <w:i/>
          <w:iCs/>
        </w:rPr>
        <w:t>Table 5</w:t>
      </w:r>
      <w:r>
        <w:rPr>
          <w:i/>
          <w:iCs/>
        </w:rPr>
        <w:t xml:space="preserve"> shows the trends in the entire list of Cincinnati neighborhoods.  The author will provide periodic updates.</w:t>
      </w:r>
    </w:p>
    <w:p w14:paraId="28CA08ED" w14:textId="77777777" w:rsidR="0007746A" w:rsidRDefault="0007746A" w:rsidP="00D117AE">
      <w:pPr>
        <w:rPr>
          <w:i/>
          <w:iCs/>
        </w:rPr>
      </w:pPr>
    </w:p>
    <w:p w14:paraId="1CD16E55" w14:textId="3593FF58" w:rsidR="00D117AE" w:rsidRPr="00AA6369" w:rsidRDefault="00D117AE" w:rsidP="00D117AE">
      <w:pPr>
        <w:rPr>
          <w:i/>
          <w:iCs/>
        </w:rPr>
      </w:pPr>
      <w:r>
        <w:rPr>
          <w:i/>
          <w:iCs/>
        </w:rPr>
        <w:t xml:space="preserve">Michael Maloney is Convener of the Urban Appalachian Community Coalition, a community organizer and social researcher.  His publications include the five editions of the Social Areas of Cincinnati: Analysis of Social Needs (vols. 4-5 with Christopher </w:t>
      </w:r>
      <w:proofErr w:type="spellStart"/>
      <w:r>
        <w:rPr>
          <w:i/>
          <w:iCs/>
        </w:rPr>
        <w:t>Auffrey</w:t>
      </w:r>
      <w:proofErr w:type="spellEnd"/>
      <w:r>
        <w:rPr>
          <w:i/>
          <w:iCs/>
        </w:rPr>
        <w:t>).</w:t>
      </w:r>
    </w:p>
    <w:sectPr w:rsidR="00D117AE" w:rsidRPr="00AA6369" w:rsidSect="00D11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1AC4" w14:textId="77777777" w:rsidR="00BE39EC" w:rsidRDefault="00BE39EC" w:rsidP="00201CBD">
      <w:pPr>
        <w:spacing w:after="0" w:line="240" w:lineRule="auto"/>
      </w:pPr>
      <w:r>
        <w:separator/>
      </w:r>
    </w:p>
  </w:endnote>
  <w:endnote w:type="continuationSeparator" w:id="0">
    <w:p w14:paraId="37FE3139" w14:textId="77777777" w:rsidR="00BE39EC" w:rsidRDefault="00BE39EC" w:rsidP="0020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9A21" w14:textId="165A6EA6" w:rsidR="00B445D5" w:rsidRPr="00201CBD" w:rsidRDefault="00B445D5">
    <w:pPr>
      <w:pStyle w:val="Footer"/>
      <w:jc w:val="center"/>
      <w:rPr>
        <w:rFonts w:ascii="Arial Narrow" w:hAnsi="Arial Narrow"/>
      </w:rPr>
    </w:pPr>
    <w:r w:rsidRPr="00201CBD">
      <w:rPr>
        <w:rFonts w:ascii="Arial Narrow" w:hAnsi="Arial Narrow"/>
      </w:rPr>
      <w:t xml:space="preserve">Page </w:t>
    </w:r>
    <w:sdt>
      <w:sdtPr>
        <w:rPr>
          <w:rFonts w:ascii="Arial Narrow" w:hAnsi="Arial Narrow"/>
        </w:rPr>
        <w:id w:val="-1437589453"/>
        <w:docPartObj>
          <w:docPartGallery w:val="Page Numbers (Bottom of Page)"/>
          <w:docPartUnique/>
        </w:docPartObj>
      </w:sdtPr>
      <w:sdtEndPr>
        <w:rPr>
          <w:noProof/>
        </w:rPr>
      </w:sdtEndPr>
      <w:sdtContent>
        <w:r w:rsidRPr="00201CBD">
          <w:rPr>
            <w:rFonts w:ascii="Arial Narrow" w:hAnsi="Arial Narrow"/>
          </w:rPr>
          <w:fldChar w:fldCharType="begin"/>
        </w:r>
        <w:r w:rsidRPr="00201CBD">
          <w:rPr>
            <w:rFonts w:ascii="Arial Narrow" w:hAnsi="Arial Narrow"/>
          </w:rPr>
          <w:instrText xml:space="preserve"> PAGE   \* MERGEFORMAT </w:instrText>
        </w:r>
        <w:r w:rsidRPr="00201CBD">
          <w:rPr>
            <w:rFonts w:ascii="Arial Narrow" w:hAnsi="Arial Narrow"/>
          </w:rPr>
          <w:fldChar w:fldCharType="separate"/>
        </w:r>
        <w:r w:rsidR="00E177D5">
          <w:rPr>
            <w:rFonts w:ascii="Arial Narrow" w:hAnsi="Arial Narrow"/>
            <w:noProof/>
          </w:rPr>
          <w:t>7</w:t>
        </w:r>
        <w:r w:rsidRPr="00201CBD">
          <w:rPr>
            <w:rFonts w:ascii="Arial Narrow" w:hAnsi="Arial Narrow"/>
            <w:noProof/>
          </w:rPr>
          <w:fldChar w:fldCharType="end"/>
        </w:r>
      </w:sdtContent>
    </w:sdt>
  </w:p>
  <w:p w14:paraId="065AB78A" w14:textId="77777777" w:rsidR="00B445D5" w:rsidRDefault="00B44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FCDC" w14:textId="77777777" w:rsidR="00BE39EC" w:rsidRDefault="00BE39EC" w:rsidP="00201CBD">
      <w:pPr>
        <w:spacing w:after="0" w:line="240" w:lineRule="auto"/>
      </w:pPr>
      <w:r>
        <w:separator/>
      </w:r>
    </w:p>
  </w:footnote>
  <w:footnote w:type="continuationSeparator" w:id="0">
    <w:p w14:paraId="6C41B370" w14:textId="77777777" w:rsidR="00BE39EC" w:rsidRDefault="00BE39EC" w:rsidP="00201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81"/>
    <w:rsid w:val="00031276"/>
    <w:rsid w:val="00031DE2"/>
    <w:rsid w:val="00031FFE"/>
    <w:rsid w:val="00033934"/>
    <w:rsid w:val="00052AE7"/>
    <w:rsid w:val="0007746A"/>
    <w:rsid w:val="00083F98"/>
    <w:rsid w:val="00095377"/>
    <w:rsid w:val="000A3FF8"/>
    <w:rsid w:val="000E0FAA"/>
    <w:rsid w:val="000E4332"/>
    <w:rsid w:val="000F1295"/>
    <w:rsid w:val="001109D6"/>
    <w:rsid w:val="00117A2A"/>
    <w:rsid w:val="00133A19"/>
    <w:rsid w:val="00144047"/>
    <w:rsid w:val="00152EBC"/>
    <w:rsid w:val="001D7650"/>
    <w:rsid w:val="00201CBD"/>
    <w:rsid w:val="0020396A"/>
    <w:rsid w:val="00271C02"/>
    <w:rsid w:val="002863EB"/>
    <w:rsid w:val="00291BB2"/>
    <w:rsid w:val="002B3EB4"/>
    <w:rsid w:val="00362F50"/>
    <w:rsid w:val="004104F3"/>
    <w:rsid w:val="00445CDE"/>
    <w:rsid w:val="0047010A"/>
    <w:rsid w:val="004B2B82"/>
    <w:rsid w:val="004C1D8F"/>
    <w:rsid w:val="004C74CC"/>
    <w:rsid w:val="004E6E04"/>
    <w:rsid w:val="004F270C"/>
    <w:rsid w:val="00513ABA"/>
    <w:rsid w:val="0052332C"/>
    <w:rsid w:val="00610CB4"/>
    <w:rsid w:val="00616F79"/>
    <w:rsid w:val="006251B4"/>
    <w:rsid w:val="00640544"/>
    <w:rsid w:val="006629E0"/>
    <w:rsid w:val="00666C4D"/>
    <w:rsid w:val="00667C1C"/>
    <w:rsid w:val="006A72CF"/>
    <w:rsid w:val="006C7744"/>
    <w:rsid w:val="006D2242"/>
    <w:rsid w:val="006E6B92"/>
    <w:rsid w:val="00724E1E"/>
    <w:rsid w:val="00730E5A"/>
    <w:rsid w:val="00785D76"/>
    <w:rsid w:val="007C6D5C"/>
    <w:rsid w:val="007D440E"/>
    <w:rsid w:val="007E50CB"/>
    <w:rsid w:val="007F1DB6"/>
    <w:rsid w:val="00805E82"/>
    <w:rsid w:val="0082484E"/>
    <w:rsid w:val="00842FF2"/>
    <w:rsid w:val="00861C03"/>
    <w:rsid w:val="008A570E"/>
    <w:rsid w:val="008A750A"/>
    <w:rsid w:val="008C3BA5"/>
    <w:rsid w:val="008C7181"/>
    <w:rsid w:val="008F1BB2"/>
    <w:rsid w:val="009155AF"/>
    <w:rsid w:val="0095410F"/>
    <w:rsid w:val="0096706C"/>
    <w:rsid w:val="0097543F"/>
    <w:rsid w:val="00997B45"/>
    <w:rsid w:val="009B66AE"/>
    <w:rsid w:val="009C41A9"/>
    <w:rsid w:val="009D341D"/>
    <w:rsid w:val="009D48E6"/>
    <w:rsid w:val="009E20C2"/>
    <w:rsid w:val="00A75720"/>
    <w:rsid w:val="00AA608B"/>
    <w:rsid w:val="00AA6369"/>
    <w:rsid w:val="00AD640A"/>
    <w:rsid w:val="00AE6524"/>
    <w:rsid w:val="00AE6F11"/>
    <w:rsid w:val="00AF2D31"/>
    <w:rsid w:val="00AF5943"/>
    <w:rsid w:val="00B02A0E"/>
    <w:rsid w:val="00B038E9"/>
    <w:rsid w:val="00B32643"/>
    <w:rsid w:val="00B445D5"/>
    <w:rsid w:val="00B510B8"/>
    <w:rsid w:val="00B57676"/>
    <w:rsid w:val="00B660EE"/>
    <w:rsid w:val="00B72DB8"/>
    <w:rsid w:val="00B97637"/>
    <w:rsid w:val="00BC3EC3"/>
    <w:rsid w:val="00BD6E15"/>
    <w:rsid w:val="00BE39EC"/>
    <w:rsid w:val="00BE3B92"/>
    <w:rsid w:val="00BF2344"/>
    <w:rsid w:val="00C0084C"/>
    <w:rsid w:val="00C6423A"/>
    <w:rsid w:val="00C71BA4"/>
    <w:rsid w:val="00C9409C"/>
    <w:rsid w:val="00CE7329"/>
    <w:rsid w:val="00D117AE"/>
    <w:rsid w:val="00D93E2B"/>
    <w:rsid w:val="00DC1F87"/>
    <w:rsid w:val="00DE0406"/>
    <w:rsid w:val="00DE26FE"/>
    <w:rsid w:val="00DE4A41"/>
    <w:rsid w:val="00DF02DC"/>
    <w:rsid w:val="00DF6817"/>
    <w:rsid w:val="00E1189C"/>
    <w:rsid w:val="00E1624B"/>
    <w:rsid w:val="00E177D5"/>
    <w:rsid w:val="00E978B4"/>
    <w:rsid w:val="00EE3BD3"/>
    <w:rsid w:val="00F36FCB"/>
    <w:rsid w:val="00F83E5B"/>
    <w:rsid w:val="00F95B87"/>
    <w:rsid w:val="00FB242A"/>
    <w:rsid w:val="00FC50CA"/>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D08"/>
  <w15:chartTrackingRefBased/>
  <w15:docId w15:val="{65C4A905-44E8-4A0C-B107-C8404D41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3E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38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9E0"/>
    <w:rPr>
      <w:color w:val="0563C1" w:themeColor="hyperlink"/>
      <w:u w:val="single"/>
    </w:rPr>
  </w:style>
  <w:style w:type="character" w:customStyle="1" w:styleId="UnresolvedMention">
    <w:name w:val="Unresolved Mention"/>
    <w:basedOn w:val="DefaultParagraphFont"/>
    <w:uiPriority w:val="99"/>
    <w:semiHidden/>
    <w:unhideWhenUsed/>
    <w:rsid w:val="006629E0"/>
    <w:rPr>
      <w:color w:val="605E5C"/>
      <w:shd w:val="clear" w:color="auto" w:fill="E1DFDD"/>
    </w:rPr>
  </w:style>
  <w:style w:type="table" w:styleId="TableGrid">
    <w:name w:val="Table Grid"/>
    <w:basedOn w:val="TableNormal"/>
    <w:uiPriority w:val="39"/>
    <w:rsid w:val="0095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E65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AA6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F27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7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BD"/>
  </w:style>
  <w:style w:type="paragraph" w:styleId="Footer">
    <w:name w:val="footer"/>
    <w:basedOn w:val="Normal"/>
    <w:link w:val="FooterChar"/>
    <w:uiPriority w:val="99"/>
    <w:unhideWhenUsed/>
    <w:rsid w:val="0020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BD"/>
  </w:style>
  <w:style w:type="character" w:customStyle="1" w:styleId="Heading3Char">
    <w:name w:val="Heading 3 Char"/>
    <w:basedOn w:val="DefaultParagraphFont"/>
    <w:link w:val="Heading3"/>
    <w:uiPriority w:val="9"/>
    <w:rsid w:val="00BC3EC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0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4C"/>
    <w:rPr>
      <w:rFonts w:ascii="Segoe UI" w:hAnsi="Segoe UI" w:cs="Segoe UI"/>
      <w:sz w:val="18"/>
      <w:szCs w:val="18"/>
    </w:rPr>
  </w:style>
  <w:style w:type="character" w:customStyle="1" w:styleId="Heading4Char">
    <w:name w:val="Heading 4 Char"/>
    <w:basedOn w:val="DefaultParagraphFont"/>
    <w:link w:val="Heading4"/>
    <w:uiPriority w:val="9"/>
    <w:rsid w:val="00B038E9"/>
    <w:rPr>
      <w:rFonts w:asciiTheme="majorHAnsi" w:eastAsiaTheme="majorEastAsia" w:hAnsiTheme="majorHAnsi" w:cstheme="majorBidi"/>
      <w:i/>
      <w:iCs/>
      <w:color w:val="2F5496" w:themeColor="accent1" w:themeShade="BF"/>
    </w:rPr>
  </w:style>
  <w:style w:type="table" w:styleId="GridTable5Dark-Accent1">
    <w:name w:val="Grid Table 5 Dark Accent 1"/>
    <w:basedOn w:val="TableNormal"/>
    <w:uiPriority w:val="50"/>
    <w:rsid w:val="00C71B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939">
      <w:bodyDiv w:val="1"/>
      <w:marLeft w:val="0"/>
      <w:marRight w:val="0"/>
      <w:marTop w:val="0"/>
      <w:marBottom w:val="0"/>
      <w:divBdr>
        <w:top w:val="none" w:sz="0" w:space="0" w:color="auto"/>
        <w:left w:val="none" w:sz="0" w:space="0" w:color="auto"/>
        <w:bottom w:val="none" w:sz="0" w:space="0" w:color="auto"/>
        <w:right w:val="none" w:sz="0" w:space="0" w:color="auto"/>
      </w:divBdr>
    </w:div>
    <w:div w:id="282465873">
      <w:bodyDiv w:val="1"/>
      <w:marLeft w:val="0"/>
      <w:marRight w:val="0"/>
      <w:marTop w:val="0"/>
      <w:marBottom w:val="0"/>
      <w:divBdr>
        <w:top w:val="none" w:sz="0" w:space="0" w:color="auto"/>
        <w:left w:val="none" w:sz="0" w:space="0" w:color="auto"/>
        <w:bottom w:val="none" w:sz="0" w:space="0" w:color="auto"/>
        <w:right w:val="none" w:sz="0" w:space="0" w:color="auto"/>
      </w:divBdr>
    </w:div>
    <w:div w:id="326639443">
      <w:bodyDiv w:val="1"/>
      <w:marLeft w:val="0"/>
      <w:marRight w:val="0"/>
      <w:marTop w:val="0"/>
      <w:marBottom w:val="0"/>
      <w:divBdr>
        <w:top w:val="none" w:sz="0" w:space="0" w:color="auto"/>
        <w:left w:val="none" w:sz="0" w:space="0" w:color="auto"/>
        <w:bottom w:val="none" w:sz="0" w:space="0" w:color="auto"/>
        <w:right w:val="none" w:sz="0" w:space="0" w:color="auto"/>
      </w:divBdr>
    </w:div>
    <w:div w:id="355497029">
      <w:bodyDiv w:val="1"/>
      <w:marLeft w:val="0"/>
      <w:marRight w:val="0"/>
      <w:marTop w:val="0"/>
      <w:marBottom w:val="0"/>
      <w:divBdr>
        <w:top w:val="none" w:sz="0" w:space="0" w:color="auto"/>
        <w:left w:val="none" w:sz="0" w:space="0" w:color="auto"/>
        <w:bottom w:val="none" w:sz="0" w:space="0" w:color="auto"/>
        <w:right w:val="none" w:sz="0" w:space="0" w:color="auto"/>
      </w:divBdr>
    </w:div>
    <w:div w:id="362050538">
      <w:bodyDiv w:val="1"/>
      <w:marLeft w:val="0"/>
      <w:marRight w:val="0"/>
      <w:marTop w:val="0"/>
      <w:marBottom w:val="0"/>
      <w:divBdr>
        <w:top w:val="none" w:sz="0" w:space="0" w:color="auto"/>
        <w:left w:val="none" w:sz="0" w:space="0" w:color="auto"/>
        <w:bottom w:val="none" w:sz="0" w:space="0" w:color="auto"/>
        <w:right w:val="none" w:sz="0" w:space="0" w:color="auto"/>
      </w:divBdr>
    </w:div>
    <w:div w:id="650712529">
      <w:bodyDiv w:val="1"/>
      <w:marLeft w:val="0"/>
      <w:marRight w:val="0"/>
      <w:marTop w:val="0"/>
      <w:marBottom w:val="0"/>
      <w:divBdr>
        <w:top w:val="none" w:sz="0" w:space="0" w:color="auto"/>
        <w:left w:val="none" w:sz="0" w:space="0" w:color="auto"/>
        <w:bottom w:val="none" w:sz="0" w:space="0" w:color="auto"/>
        <w:right w:val="none" w:sz="0" w:space="0" w:color="auto"/>
      </w:divBdr>
    </w:div>
    <w:div w:id="693651887">
      <w:bodyDiv w:val="1"/>
      <w:marLeft w:val="0"/>
      <w:marRight w:val="0"/>
      <w:marTop w:val="0"/>
      <w:marBottom w:val="0"/>
      <w:divBdr>
        <w:top w:val="none" w:sz="0" w:space="0" w:color="auto"/>
        <w:left w:val="none" w:sz="0" w:space="0" w:color="auto"/>
        <w:bottom w:val="none" w:sz="0" w:space="0" w:color="auto"/>
        <w:right w:val="none" w:sz="0" w:space="0" w:color="auto"/>
      </w:divBdr>
    </w:div>
    <w:div w:id="719092917">
      <w:bodyDiv w:val="1"/>
      <w:marLeft w:val="0"/>
      <w:marRight w:val="0"/>
      <w:marTop w:val="0"/>
      <w:marBottom w:val="0"/>
      <w:divBdr>
        <w:top w:val="none" w:sz="0" w:space="0" w:color="auto"/>
        <w:left w:val="none" w:sz="0" w:space="0" w:color="auto"/>
        <w:bottom w:val="none" w:sz="0" w:space="0" w:color="auto"/>
        <w:right w:val="none" w:sz="0" w:space="0" w:color="auto"/>
      </w:divBdr>
    </w:div>
    <w:div w:id="826242002">
      <w:bodyDiv w:val="1"/>
      <w:marLeft w:val="0"/>
      <w:marRight w:val="0"/>
      <w:marTop w:val="0"/>
      <w:marBottom w:val="0"/>
      <w:divBdr>
        <w:top w:val="none" w:sz="0" w:space="0" w:color="auto"/>
        <w:left w:val="none" w:sz="0" w:space="0" w:color="auto"/>
        <w:bottom w:val="none" w:sz="0" w:space="0" w:color="auto"/>
        <w:right w:val="none" w:sz="0" w:space="0" w:color="auto"/>
      </w:divBdr>
    </w:div>
    <w:div w:id="1150486592">
      <w:bodyDiv w:val="1"/>
      <w:marLeft w:val="0"/>
      <w:marRight w:val="0"/>
      <w:marTop w:val="0"/>
      <w:marBottom w:val="0"/>
      <w:divBdr>
        <w:top w:val="none" w:sz="0" w:space="0" w:color="auto"/>
        <w:left w:val="none" w:sz="0" w:space="0" w:color="auto"/>
        <w:bottom w:val="none" w:sz="0" w:space="0" w:color="auto"/>
        <w:right w:val="none" w:sz="0" w:space="0" w:color="auto"/>
      </w:divBdr>
    </w:div>
    <w:div w:id="1252349272">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420826840">
      <w:bodyDiv w:val="1"/>
      <w:marLeft w:val="0"/>
      <w:marRight w:val="0"/>
      <w:marTop w:val="0"/>
      <w:marBottom w:val="0"/>
      <w:divBdr>
        <w:top w:val="none" w:sz="0" w:space="0" w:color="auto"/>
        <w:left w:val="none" w:sz="0" w:space="0" w:color="auto"/>
        <w:bottom w:val="none" w:sz="0" w:space="0" w:color="auto"/>
        <w:right w:val="none" w:sz="0" w:space="0" w:color="auto"/>
      </w:divBdr>
    </w:div>
    <w:div w:id="1435519929">
      <w:bodyDiv w:val="1"/>
      <w:marLeft w:val="0"/>
      <w:marRight w:val="0"/>
      <w:marTop w:val="0"/>
      <w:marBottom w:val="0"/>
      <w:divBdr>
        <w:top w:val="none" w:sz="0" w:space="0" w:color="auto"/>
        <w:left w:val="none" w:sz="0" w:space="0" w:color="auto"/>
        <w:bottom w:val="none" w:sz="0" w:space="0" w:color="auto"/>
        <w:right w:val="none" w:sz="0" w:space="0" w:color="auto"/>
      </w:divBdr>
    </w:div>
    <w:div w:id="1556350391">
      <w:bodyDiv w:val="1"/>
      <w:marLeft w:val="0"/>
      <w:marRight w:val="0"/>
      <w:marTop w:val="0"/>
      <w:marBottom w:val="0"/>
      <w:divBdr>
        <w:top w:val="none" w:sz="0" w:space="0" w:color="auto"/>
        <w:left w:val="none" w:sz="0" w:space="0" w:color="auto"/>
        <w:bottom w:val="none" w:sz="0" w:space="0" w:color="auto"/>
        <w:right w:val="none" w:sz="0" w:space="0" w:color="auto"/>
      </w:divBdr>
    </w:div>
    <w:div w:id="2021734041">
      <w:bodyDiv w:val="1"/>
      <w:marLeft w:val="0"/>
      <w:marRight w:val="0"/>
      <w:marTop w:val="0"/>
      <w:marBottom w:val="0"/>
      <w:divBdr>
        <w:top w:val="none" w:sz="0" w:space="0" w:color="auto"/>
        <w:left w:val="none" w:sz="0" w:space="0" w:color="auto"/>
        <w:bottom w:val="none" w:sz="0" w:space="0" w:color="auto"/>
        <w:right w:val="none" w:sz="0" w:space="0" w:color="auto"/>
      </w:divBdr>
    </w:div>
    <w:div w:id="20640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areasofcincinnati.org" TargetMode="External"/><Relationship Id="rId3" Type="http://schemas.openxmlformats.org/officeDocument/2006/relationships/settings" Target="settings.xml"/><Relationship Id="rId7" Type="http://schemas.openxmlformats.org/officeDocument/2006/relationships/hyperlink" Target="https://www.cincinnati-oh.gov/health/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CC00-02E3-4A68-B1C4-57D6F1EA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Dey, Jeff</cp:lastModifiedBy>
  <cp:revision>12</cp:revision>
  <cp:lastPrinted>2020-08-14T21:26:00Z</cp:lastPrinted>
  <dcterms:created xsi:type="dcterms:W3CDTF">2020-10-15T00:11:00Z</dcterms:created>
  <dcterms:modified xsi:type="dcterms:W3CDTF">2020-10-28T21:02:00Z</dcterms:modified>
</cp:coreProperties>
</file>