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2902" w14:textId="72EB8365" w:rsidR="00FA10F0" w:rsidRDefault="00C00765" w:rsidP="00F37817">
      <w:pPr>
        <w:pStyle w:val="Heading1"/>
        <w:jc w:val="center"/>
      </w:pPr>
      <w:bookmarkStart w:id="0" w:name="_GoBack"/>
      <w:bookmarkEnd w:id="0"/>
      <w:r>
        <w:t>The Coronavirus in Cincinnati: The Geography and Demography of It</w:t>
      </w:r>
    </w:p>
    <w:p w14:paraId="0C695203" w14:textId="17DC2105" w:rsidR="00C00765" w:rsidRDefault="00C00765" w:rsidP="00C00765">
      <w:pPr>
        <w:pStyle w:val="Heading2"/>
      </w:pPr>
      <w:r>
        <w:t>The Demography</w:t>
      </w:r>
    </w:p>
    <w:p w14:paraId="03AA2797" w14:textId="04278C02" w:rsidR="00C00765" w:rsidRDefault="00C00765" w:rsidP="00C00765">
      <w:pPr>
        <w:pStyle w:val="Heading3"/>
      </w:pPr>
      <w:r>
        <w:t>Race</w:t>
      </w:r>
    </w:p>
    <w:p w14:paraId="642B955C" w14:textId="01865553" w:rsidR="00C00765" w:rsidRDefault="00C00765">
      <w:r>
        <w:t>Since tracking by the Cincinnati Health Department began March 23, as of June 1, there have been 1</w:t>
      </w:r>
      <w:r w:rsidR="00F37817">
        <w:t>,</w:t>
      </w:r>
      <w:r>
        <w:t xml:space="preserve">129 confirmed cases, 230 hospitalizations, 52 deaths, and 694 recorded recoveries.  The racial distribution of the cases is hard to describe because early on race was not always recorded.  </w:t>
      </w:r>
      <w:r w:rsidR="00415EB0">
        <w:t xml:space="preserve">If we allocate half of the “unknown” cases to the black population it equals 39.5% of the confirmed cases and would not indicate racial disparity.  We need better data.  The death statistics show almost half the total deaths are among blacks.  So, we can conclude that blacks are more likely than whites to die from this virus.  </w:t>
      </w:r>
      <w:r>
        <w:t>Here is the data the Health Department posts:</w:t>
      </w:r>
    </w:p>
    <w:p w14:paraId="34289696" w14:textId="7C057050" w:rsidR="001313A1" w:rsidRDefault="001313A1" w:rsidP="001649BC">
      <w:pPr>
        <w:pStyle w:val="Caption"/>
        <w:keepNext/>
        <w:spacing w:after="0"/>
      </w:pPr>
      <w:r>
        <w:t xml:space="preserve">Table </w:t>
      </w:r>
      <w:r w:rsidR="00632D3C">
        <w:fldChar w:fldCharType="begin"/>
      </w:r>
      <w:r w:rsidR="00632D3C">
        <w:instrText xml:space="preserve"> SEQ Table \* ARABIC </w:instrText>
      </w:r>
      <w:r w:rsidR="00632D3C">
        <w:fldChar w:fldCharType="separate"/>
      </w:r>
      <w:r w:rsidR="00C309D6">
        <w:rPr>
          <w:noProof/>
        </w:rPr>
        <w:t>1</w:t>
      </w:r>
      <w:r w:rsidR="00632D3C">
        <w:rPr>
          <w:noProof/>
        </w:rPr>
        <w:fldChar w:fldCharType="end"/>
      </w:r>
      <w:r>
        <w:t>: Race Distribution of Deaths and Confirmed Cases</w:t>
      </w:r>
    </w:p>
    <w:tbl>
      <w:tblPr>
        <w:tblStyle w:val="GridTable5Dark-Accent5"/>
        <w:tblW w:w="5000" w:type="pct"/>
        <w:jc w:val="center"/>
        <w:tblLook w:val="04E0" w:firstRow="1" w:lastRow="1" w:firstColumn="1" w:lastColumn="0" w:noHBand="0" w:noVBand="1"/>
      </w:tblPr>
      <w:tblGrid>
        <w:gridCol w:w="3375"/>
        <w:gridCol w:w="2691"/>
        <w:gridCol w:w="3284"/>
      </w:tblGrid>
      <w:tr w:rsidR="00C00765" w:rsidRPr="00C00765" w14:paraId="43C17DC6" w14:textId="77777777" w:rsidTr="001649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5" w:type="pct"/>
          </w:tcPr>
          <w:p w14:paraId="36549DC3" w14:textId="77777777" w:rsidR="00C00765" w:rsidRPr="00C00765" w:rsidRDefault="00C00765" w:rsidP="001649BC">
            <w:pPr>
              <w:keepNext/>
            </w:pPr>
            <w:r w:rsidRPr="00C00765">
              <w:t>Race</w:t>
            </w:r>
          </w:p>
        </w:tc>
        <w:tc>
          <w:tcPr>
            <w:tcW w:w="1439" w:type="pct"/>
          </w:tcPr>
          <w:p w14:paraId="67351B01" w14:textId="77777777" w:rsidR="00C00765" w:rsidRPr="00C00765" w:rsidRDefault="00C00765" w:rsidP="001649BC">
            <w:pPr>
              <w:keepNext/>
              <w:jc w:val="center"/>
              <w:cnfStyle w:val="100000000000" w:firstRow="1" w:lastRow="0" w:firstColumn="0" w:lastColumn="0" w:oddVBand="0" w:evenVBand="0" w:oddHBand="0" w:evenHBand="0" w:firstRowFirstColumn="0" w:firstRowLastColumn="0" w:lastRowFirstColumn="0" w:lastRowLastColumn="0"/>
            </w:pPr>
            <w:r w:rsidRPr="00C00765">
              <w:t>Deaths</w:t>
            </w:r>
          </w:p>
        </w:tc>
        <w:tc>
          <w:tcPr>
            <w:tcW w:w="1756" w:type="pct"/>
          </w:tcPr>
          <w:p w14:paraId="7B59EC0C" w14:textId="55D0C596" w:rsidR="00C00765" w:rsidRPr="00C00765" w:rsidRDefault="00F37817" w:rsidP="001649BC">
            <w:pPr>
              <w:keepNext/>
              <w:jc w:val="center"/>
              <w:cnfStyle w:val="100000000000" w:firstRow="1" w:lastRow="0" w:firstColumn="0" w:lastColumn="0" w:oddVBand="0" w:evenVBand="0" w:oddHBand="0" w:evenHBand="0" w:firstRowFirstColumn="0" w:firstRowLastColumn="0" w:lastRowFirstColumn="0" w:lastRowLastColumn="0"/>
            </w:pPr>
            <w:r>
              <w:t xml:space="preserve">Confirmed </w:t>
            </w:r>
            <w:r w:rsidR="00C00765" w:rsidRPr="00C00765">
              <w:t>Cases</w:t>
            </w:r>
          </w:p>
        </w:tc>
      </w:tr>
      <w:tr w:rsidR="00C00765" w:rsidRPr="00C00765" w14:paraId="721FA711"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5" w:type="pct"/>
          </w:tcPr>
          <w:p w14:paraId="7102E0AE" w14:textId="7E70C650" w:rsidR="00C00765" w:rsidRPr="00C00765" w:rsidRDefault="00C00765" w:rsidP="001649BC">
            <w:pPr>
              <w:keepNext/>
            </w:pPr>
            <w:r w:rsidRPr="00C00765">
              <w:t>B</w:t>
            </w:r>
            <w:r w:rsidR="00415EB0">
              <w:t>l</w:t>
            </w:r>
            <w:r w:rsidRPr="00C00765">
              <w:t>ack</w:t>
            </w:r>
          </w:p>
        </w:tc>
        <w:tc>
          <w:tcPr>
            <w:tcW w:w="1439" w:type="pct"/>
          </w:tcPr>
          <w:p w14:paraId="1672658E" w14:textId="77777777" w:rsidR="00C00765" w:rsidRPr="00C00765" w:rsidRDefault="00C00765" w:rsidP="001649BC">
            <w:pPr>
              <w:keepNext/>
              <w:jc w:val="right"/>
              <w:cnfStyle w:val="000000100000" w:firstRow="0" w:lastRow="0" w:firstColumn="0" w:lastColumn="0" w:oddVBand="0" w:evenVBand="0" w:oddHBand="1" w:evenHBand="0" w:firstRowFirstColumn="0" w:firstRowLastColumn="0" w:lastRowFirstColumn="0" w:lastRowLastColumn="0"/>
            </w:pPr>
            <w:r w:rsidRPr="00C00765">
              <w:t>24</w:t>
            </w:r>
          </w:p>
        </w:tc>
        <w:tc>
          <w:tcPr>
            <w:tcW w:w="1756" w:type="pct"/>
          </w:tcPr>
          <w:p w14:paraId="3DAEB341" w14:textId="77777777" w:rsidR="00C00765" w:rsidRPr="00C00765" w:rsidRDefault="00C00765" w:rsidP="001649BC">
            <w:pPr>
              <w:keepNext/>
              <w:jc w:val="right"/>
              <w:cnfStyle w:val="000000100000" w:firstRow="0" w:lastRow="0" w:firstColumn="0" w:lastColumn="0" w:oddVBand="0" w:evenVBand="0" w:oddHBand="1" w:evenHBand="0" w:firstRowFirstColumn="0" w:firstRowLastColumn="0" w:lastRowFirstColumn="0" w:lastRowLastColumn="0"/>
            </w:pPr>
            <w:r w:rsidRPr="00C00765">
              <w:t>368</w:t>
            </w:r>
          </w:p>
        </w:tc>
      </w:tr>
      <w:tr w:rsidR="00C00765" w:rsidRPr="00C00765" w14:paraId="55EC80BA" w14:textId="77777777" w:rsidTr="001649BC">
        <w:trPr>
          <w:jc w:val="center"/>
        </w:trPr>
        <w:tc>
          <w:tcPr>
            <w:cnfStyle w:val="001000000000" w:firstRow="0" w:lastRow="0" w:firstColumn="1" w:lastColumn="0" w:oddVBand="0" w:evenVBand="0" w:oddHBand="0" w:evenHBand="0" w:firstRowFirstColumn="0" w:firstRowLastColumn="0" w:lastRowFirstColumn="0" w:lastRowLastColumn="0"/>
            <w:tcW w:w="1805" w:type="pct"/>
          </w:tcPr>
          <w:p w14:paraId="43592AF1" w14:textId="77777777" w:rsidR="00C00765" w:rsidRPr="00C00765" w:rsidRDefault="00C00765" w:rsidP="001649BC">
            <w:pPr>
              <w:keepNext/>
            </w:pPr>
            <w:r w:rsidRPr="00C00765">
              <w:t>Hispanic</w:t>
            </w:r>
          </w:p>
        </w:tc>
        <w:tc>
          <w:tcPr>
            <w:tcW w:w="1439" w:type="pct"/>
          </w:tcPr>
          <w:p w14:paraId="4ED12B74" w14:textId="77777777" w:rsidR="00C00765" w:rsidRPr="00C00765" w:rsidRDefault="00C00765" w:rsidP="001649BC">
            <w:pPr>
              <w:keepNext/>
              <w:jc w:val="right"/>
              <w:cnfStyle w:val="000000000000" w:firstRow="0" w:lastRow="0" w:firstColumn="0" w:lastColumn="0" w:oddVBand="0" w:evenVBand="0" w:oddHBand="0" w:evenHBand="0" w:firstRowFirstColumn="0" w:firstRowLastColumn="0" w:lastRowFirstColumn="0" w:lastRowLastColumn="0"/>
            </w:pPr>
            <w:r w:rsidRPr="00C00765">
              <w:t>0</w:t>
            </w:r>
          </w:p>
        </w:tc>
        <w:tc>
          <w:tcPr>
            <w:tcW w:w="1756" w:type="pct"/>
          </w:tcPr>
          <w:p w14:paraId="497CDB0E" w14:textId="77777777" w:rsidR="00C00765" w:rsidRPr="00C00765" w:rsidRDefault="00C00765" w:rsidP="001649BC">
            <w:pPr>
              <w:keepNext/>
              <w:jc w:val="right"/>
              <w:cnfStyle w:val="000000000000" w:firstRow="0" w:lastRow="0" w:firstColumn="0" w:lastColumn="0" w:oddVBand="0" w:evenVBand="0" w:oddHBand="0" w:evenHBand="0" w:firstRowFirstColumn="0" w:firstRowLastColumn="0" w:lastRowFirstColumn="0" w:lastRowLastColumn="0"/>
            </w:pPr>
            <w:r w:rsidRPr="00C00765">
              <w:t>195</w:t>
            </w:r>
          </w:p>
        </w:tc>
      </w:tr>
      <w:tr w:rsidR="00C00765" w:rsidRPr="00C00765" w14:paraId="70C62626"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5" w:type="pct"/>
          </w:tcPr>
          <w:p w14:paraId="6D1334D6" w14:textId="77777777" w:rsidR="00C00765" w:rsidRPr="00C00765" w:rsidRDefault="00C00765" w:rsidP="001649BC">
            <w:pPr>
              <w:keepNext/>
            </w:pPr>
            <w:r w:rsidRPr="00C00765">
              <w:t>White</w:t>
            </w:r>
          </w:p>
        </w:tc>
        <w:tc>
          <w:tcPr>
            <w:tcW w:w="1439" w:type="pct"/>
          </w:tcPr>
          <w:p w14:paraId="14DEEAB5" w14:textId="77777777" w:rsidR="00C00765" w:rsidRPr="00C00765" w:rsidRDefault="00C00765" w:rsidP="001649BC">
            <w:pPr>
              <w:keepNext/>
              <w:jc w:val="right"/>
              <w:cnfStyle w:val="000000100000" w:firstRow="0" w:lastRow="0" w:firstColumn="0" w:lastColumn="0" w:oddVBand="0" w:evenVBand="0" w:oddHBand="1" w:evenHBand="0" w:firstRowFirstColumn="0" w:firstRowLastColumn="0" w:lastRowFirstColumn="0" w:lastRowLastColumn="0"/>
            </w:pPr>
            <w:r w:rsidRPr="00C00765">
              <w:t>20</w:t>
            </w:r>
          </w:p>
        </w:tc>
        <w:tc>
          <w:tcPr>
            <w:tcW w:w="1756" w:type="pct"/>
          </w:tcPr>
          <w:p w14:paraId="46DEEA0F" w14:textId="77777777" w:rsidR="00C00765" w:rsidRPr="00C00765" w:rsidRDefault="00C00765" w:rsidP="001649BC">
            <w:pPr>
              <w:keepNext/>
              <w:jc w:val="right"/>
              <w:cnfStyle w:val="000000100000" w:firstRow="0" w:lastRow="0" w:firstColumn="0" w:lastColumn="0" w:oddVBand="0" w:evenVBand="0" w:oddHBand="1" w:evenHBand="0" w:firstRowFirstColumn="0" w:firstRowLastColumn="0" w:lastRowFirstColumn="0" w:lastRowLastColumn="0"/>
            </w:pPr>
            <w:r w:rsidRPr="00C00765">
              <w:t>324</w:t>
            </w:r>
          </w:p>
        </w:tc>
      </w:tr>
      <w:tr w:rsidR="00C00765" w:rsidRPr="00C00765" w14:paraId="14AEA261" w14:textId="77777777" w:rsidTr="001649BC">
        <w:trPr>
          <w:jc w:val="center"/>
        </w:trPr>
        <w:tc>
          <w:tcPr>
            <w:cnfStyle w:val="001000000000" w:firstRow="0" w:lastRow="0" w:firstColumn="1" w:lastColumn="0" w:oddVBand="0" w:evenVBand="0" w:oddHBand="0" w:evenHBand="0" w:firstRowFirstColumn="0" w:firstRowLastColumn="0" w:lastRowFirstColumn="0" w:lastRowLastColumn="0"/>
            <w:tcW w:w="1805" w:type="pct"/>
          </w:tcPr>
          <w:p w14:paraId="7CB284CD" w14:textId="36DE305D" w:rsidR="00C00765" w:rsidRPr="00C00765" w:rsidRDefault="00C00765" w:rsidP="001649BC">
            <w:pPr>
              <w:keepNext/>
            </w:pPr>
            <w:r w:rsidRPr="00C00765">
              <w:t>Other</w:t>
            </w:r>
          </w:p>
        </w:tc>
        <w:tc>
          <w:tcPr>
            <w:tcW w:w="1439" w:type="pct"/>
          </w:tcPr>
          <w:p w14:paraId="679D9632" w14:textId="0DDA6477" w:rsidR="00C00765" w:rsidRPr="00C00765" w:rsidRDefault="00C00765" w:rsidP="001649BC">
            <w:pPr>
              <w:keepNext/>
              <w:jc w:val="right"/>
              <w:cnfStyle w:val="000000000000" w:firstRow="0" w:lastRow="0" w:firstColumn="0" w:lastColumn="0" w:oddVBand="0" w:evenVBand="0" w:oddHBand="0" w:evenHBand="0" w:firstRowFirstColumn="0" w:firstRowLastColumn="0" w:lastRowFirstColumn="0" w:lastRowLastColumn="0"/>
            </w:pPr>
            <w:r>
              <w:t>3</w:t>
            </w:r>
          </w:p>
        </w:tc>
        <w:tc>
          <w:tcPr>
            <w:tcW w:w="1756" w:type="pct"/>
          </w:tcPr>
          <w:p w14:paraId="2397E165" w14:textId="0A879135" w:rsidR="00C00765" w:rsidRPr="00C00765" w:rsidRDefault="00C00765" w:rsidP="001649BC">
            <w:pPr>
              <w:keepNext/>
              <w:jc w:val="right"/>
              <w:cnfStyle w:val="000000000000" w:firstRow="0" w:lastRow="0" w:firstColumn="0" w:lastColumn="0" w:oddVBand="0" w:evenVBand="0" w:oddHBand="0" w:evenHBand="0" w:firstRowFirstColumn="0" w:firstRowLastColumn="0" w:lastRowFirstColumn="0" w:lastRowLastColumn="0"/>
            </w:pPr>
            <w:r w:rsidRPr="00C00765">
              <w:t>77</w:t>
            </w:r>
          </w:p>
        </w:tc>
      </w:tr>
      <w:tr w:rsidR="00C00765" w:rsidRPr="00C00765" w14:paraId="047B89B7"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5" w:type="pct"/>
          </w:tcPr>
          <w:p w14:paraId="0A98300B" w14:textId="77777777" w:rsidR="00C00765" w:rsidRPr="00C00765" w:rsidRDefault="00C00765" w:rsidP="001649BC">
            <w:pPr>
              <w:keepNext/>
            </w:pPr>
            <w:r w:rsidRPr="00C00765">
              <w:t>Unknown</w:t>
            </w:r>
          </w:p>
        </w:tc>
        <w:tc>
          <w:tcPr>
            <w:tcW w:w="1439" w:type="pct"/>
          </w:tcPr>
          <w:p w14:paraId="0B77D072" w14:textId="77777777" w:rsidR="00C00765" w:rsidRPr="00C00765" w:rsidRDefault="00C00765" w:rsidP="001649BC">
            <w:pPr>
              <w:keepNext/>
              <w:jc w:val="right"/>
              <w:cnfStyle w:val="000000100000" w:firstRow="0" w:lastRow="0" w:firstColumn="0" w:lastColumn="0" w:oddVBand="0" w:evenVBand="0" w:oddHBand="1" w:evenHBand="0" w:firstRowFirstColumn="0" w:firstRowLastColumn="0" w:lastRowFirstColumn="0" w:lastRowLastColumn="0"/>
            </w:pPr>
            <w:r w:rsidRPr="00C00765">
              <w:t>5</w:t>
            </w:r>
          </w:p>
        </w:tc>
        <w:tc>
          <w:tcPr>
            <w:tcW w:w="1756" w:type="pct"/>
          </w:tcPr>
          <w:p w14:paraId="0E844C9B" w14:textId="77777777" w:rsidR="00C00765" w:rsidRPr="00C00765" w:rsidRDefault="00C00765" w:rsidP="001649BC">
            <w:pPr>
              <w:keepNext/>
              <w:jc w:val="right"/>
              <w:cnfStyle w:val="000000100000" w:firstRow="0" w:lastRow="0" w:firstColumn="0" w:lastColumn="0" w:oddVBand="0" w:evenVBand="0" w:oddHBand="1" w:evenHBand="0" w:firstRowFirstColumn="0" w:firstRowLastColumn="0" w:lastRowFirstColumn="0" w:lastRowLastColumn="0"/>
            </w:pPr>
            <w:r w:rsidRPr="00C00765">
              <w:t>165</w:t>
            </w:r>
          </w:p>
        </w:tc>
      </w:tr>
      <w:tr w:rsidR="00C00765" w14:paraId="6C9ED36D" w14:textId="77777777" w:rsidTr="001649B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5" w:type="pct"/>
          </w:tcPr>
          <w:p w14:paraId="125ED5D3" w14:textId="77777777" w:rsidR="00C00765" w:rsidRPr="00C00765" w:rsidRDefault="00C00765" w:rsidP="001649BC">
            <w:pPr>
              <w:keepNext/>
            </w:pPr>
            <w:r w:rsidRPr="00C00765">
              <w:t>Total</w:t>
            </w:r>
          </w:p>
        </w:tc>
        <w:tc>
          <w:tcPr>
            <w:tcW w:w="1439" w:type="pct"/>
          </w:tcPr>
          <w:p w14:paraId="5B3DB6CC" w14:textId="4AE8D711" w:rsidR="00C00765" w:rsidRPr="00C00765" w:rsidRDefault="00F37817" w:rsidP="001649BC">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52</w:t>
            </w:r>
            <w:r>
              <w:fldChar w:fldCharType="end"/>
            </w:r>
          </w:p>
        </w:tc>
        <w:tc>
          <w:tcPr>
            <w:tcW w:w="1756" w:type="pct"/>
          </w:tcPr>
          <w:p w14:paraId="699AA452" w14:textId="6FB08E36" w:rsidR="00C00765" w:rsidRDefault="00F37817" w:rsidP="001649BC">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 "#,##0" </w:instrText>
            </w:r>
            <w:r>
              <w:fldChar w:fldCharType="separate"/>
            </w:r>
            <w:r>
              <w:rPr>
                <w:noProof/>
              </w:rPr>
              <w:t>1,129</w:t>
            </w:r>
            <w:r>
              <w:fldChar w:fldCharType="end"/>
            </w:r>
          </w:p>
        </w:tc>
      </w:tr>
    </w:tbl>
    <w:p w14:paraId="4E36A340" w14:textId="2121A40C" w:rsidR="001649BC" w:rsidRPr="001313A1" w:rsidRDefault="001649BC" w:rsidP="001649BC">
      <w:pPr>
        <w:jc w:val="right"/>
        <w:rPr>
          <w:i/>
          <w:iCs/>
          <w:sz w:val="18"/>
          <w:szCs w:val="18"/>
        </w:rPr>
      </w:pPr>
      <w:r w:rsidRPr="001313A1">
        <w:rPr>
          <w:i/>
          <w:iCs/>
          <w:sz w:val="18"/>
          <w:szCs w:val="18"/>
        </w:rPr>
        <w:t>Cincinnati Health Department March 23 – June 1 data</w:t>
      </w:r>
    </w:p>
    <w:p w14:paraId="5C65979D" w14:textId="4A747AF5" w:rsidR="00C00765" w:rsidRDefault="00C00765" w:rsidP="001313A1">
      <w:pPr>
        <w:pStyle w:val="Heading3"/>
      </w:pPr>
      <w:r>
        <w:t>Age</w:t>
      </w:r>
    </w:p>
    <w:p w14:paraId="719DDC65" w14:textId="318FFBA8" w:rsidR="00C00765" w:rsidRDefault="00C00765" w:rsidP="00C00765">
      <w:r>
        <w:t xml:space="preserve">Most of the deaths have occurred in the population over 60 (90.3%) but most of the confirmed cases have occurred in the 20-60 age range.  The hardest hit group in raw numbers was people in their 30s (251 confirmed cases).  The younger groups </w:t>
      </w:r>
      <w:r w:rsidR="00415EB0">
        <w:t xml:space="preserve">are </w:t>
      </w:r>
      <w:r>
        <w:t>presumably less vulnerable hence the lower death rates.</w:t>
      </w:r>
    </w:p>
    <w:p w14:paraId="0961A694" w14:textId="5FDEFD1A" w:rsidR="00C00765" w:rsidRDefault="00F37817" w:rsidP="001649BC">
      <w:pPr>
        <w:pStyle w:val="Caption"/>
        <w:keepNext/>
        <w:spacing w:after="0"/>
      </w:pPr>
      <w:r>
        <w:t xml:space="preserve">Table 2: </w:t>
      </w:r>
      <w:r w:rsidR="00C00765">
        <w:t>Age Distribution of Deaths and Confirmed Cases</w:t>
      </w:r>
    </w:p>
    <w:tbl>
      <w:tblPr>
        <w:tblStyle w:val="GridTable5Dark-Accent5"/>
        <w:tblW w:w="5000" w:type="pct"/>
        <w:jc w:val="center"/>
        <w:tblLook w:val="04E0" w:firstRow="1" w:lastRow="1" w:firstColumn="1" w:lastColumn="0" w:noHBand="0" w:noVBand="1"/>
      </w:tblPr>
      <w:tblGrid>
        <w:gridCol w:w="2949"/>
        <w:gridCol w:w="2195"/>
        <w:gridCol w:w="4206"/>
      </w:tblGrid>
      <w:tr w:rsidR="009A6C34" w:rsidRPr="009A6C34" w14:paraId="08BFAD7B" w14:textId="77777777" w:rsidTr="001649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7" w:type="pct"/>
          </w:tcPr>
          <w:p w14:paraId="5B76F29E" w14:textId="77777777" w:rsidR="009A6C34" w:rsidRPr="009A6C34" w:rsidRDefault="009A6C34" w:rsidP="00F37817">
            <w:pPr>
              <w:keepNext/>
              <w:jc w:val="center"/>
            </w:pPr>
            <w:r w:rsidRPr="009A6C34">
              <w:t>Age Group</w:t>
            </w:r>
          </w:p>
        </w:tc>
        <w:tc>
          <w:tcPr>
            <w:tcW w:w="1174" w:type="pct"/>
          </w:tcPr>
          <w:p w14:paraId="7D466CBD" w14:textId="77777777" w:rsidR="009A6C34" w:rsidRPr="009A6C34" w:rsidRDefault="009A6C34" w:rsidP="00F37817">
            <w:pPr>
              <w:keepNext/>
              <w:jc w:val="center"/>
              <w:cnfStyle w:val="100000000000" w:firstRow="1" w:lastRow="0" w:firstColumn="0" w:lastColumn="0" w:oddVBand="0" w:evenVBand="0" w:oddHBand="0" w:evenHBand="0" w:firstRowFirstColumn="0" w:firstRowLastColumn="0" w:lastRowFirstColumn="0" w:lastRowLastColumn="0"/>
            </w:pPr>
            <w:r w:rsidRPr="009A6C34">
              <w:t>Deaths</w:t>
            </w:r>
          </w:p>
        </w:tc>
        <w:tc>
          <w:tcPr>
            <w:tcW w:w="2249" w:type="pct"/>
          </w:tcPr>
          <w:p w14:paraId="64AF3611" w14:textId="77777777" w:rsidR="00F37817" w:rsidRDefault="009A6C34" w:rsidP="00F37817">
            <w:pPr>
              <w:keepNext/>
              <w:jc w:val="center"/>
              <w:cnfStyle w:val="100000000000" w:firstRow="1" w:lastRow="0" w:firstColumn="0" w:lastColumn="0" w:oddVBand="0" w:evenVBand="0" w:oddHBand="0" w:evenHBand="0" w:firstRowFirstColumn="0" w:firstRowLastColumn="0" w:lastRowFirstColumn="0" w:lastRowLastColumn="0"/>
              <w:rPr>
                <w:b w:val="0"/>
                <w:bCs w:val="0"/>
              </w:rPr>
            </w:pPr>
            <w:r w:rsidRPr="009A6C34">
              <w:t>Confirmed</w:t>
            </w:r>
          </w:p>
          <w:p w14:paraId="11C68A98" w14:textId="30BA255C" w:rsidR="009A6C34" w:rsidRPr="009A6C34" w:rsidRDefault="009A6C34" w:rsidP="00F37817">
            <w:pPr>
              <w:keepNext/>
              <w:jc w:val="center"/>
              <w:cnfStyle w:val="100000000000" w:firstRow="1" w:lastRow="0" w:firstColumn="0" w:lastColumn="0" w:oddVBand="0" w:evenVBand="0" w:oddHBand="0" w:evenHBand="0" w:firstRowFirstColumn="0" w:firstRowLastColumn="0" w:lastRowFirstColumn="0" w:lastRowLastColumn="0"/>
            </w:pPr>
            <w:r w:rsidRPr="009A6C34">
              <w:t>Cases</w:t>
            </w:r>
          </w:p>
        </w:tc>
      </w:tr>
      <w:tr w:rsidR="009A6C34" w:rsidRPr="009A6C34" w14:paraId="48CB4CAC"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7" w:type="pct"/>
          </w:tcPr>
          <w:p w14:paraId="3C6F0D5E" w14:textId="77777777" w:rsidR="009A6C34" w:rsidRPr="009A6C34" w:rsidRDefault="009A6C34" w:rsidP="001313A1">
            <w:pPr>
              <w:keepNext/>
              <w:jc w:val="center"/>
            </w:pPr>
            <w:r w:rsidRPr="009A6C34">
              <w:t>0-9</w:t>
            </w:r>
          </w:p>
        </w:tc>
        <w:tc>
          <w:tcPr>
            <w:tcW w:w="1174" w:type="pct"/>
          </w:tcPr>
          <w:p w14:paraId="0B60A625"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0</w:t>
            </w:r>
          </w:p>
        </w:tc>
        <w:tc>
          <w:tcPr>
            <w:tcW w:w="2249" w:type="pct"/>
          </w:tcPr>
          <w:p w14:paraId="15D28880"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22</w:t>
            </w:r>
          </w:p>
        </w:tc>
      </w:tr>
      <w:tr w:rsidR="009A6C34" w:rsidRPr="009A6C34" w14:paraId="73ED9315" w14:textId="77777777" w:rsidTr="001649BC">
        <w:trPr>
          <w:jc w:val="center"/>
        </w:trPr>
        <w:tc>
          <w:tcPr>
            <w:cnfStyle w:val="001000000000" w:firstRow="0" w:lastRow="0" w:firstColumn="1" w:lastColumn="0" w:oddVBand="0" w:evenVBand="0" w:oddHBand="0" w:evenHBand="0" w:firstRowFirstColumn="0" w:firstRowLastColumn="0" w:lastRowFirstColumn="0" w:lastRowLastColumn="0"/>
            <w:tcW w:w="1577" w:type="pct"/>
          </w:tcPr>
          <w:p w14:paraId="3A4948D6" w14:textId="77777777" w:rsidR="009A6C34" w:rsidRPr="009A6C34" w:rsidRDefault="009A6C34" w:rsidP="001313A1">
            <w:pPr>
              <w:keepNext/>
              <w:jc w:val="center"/>
            </w:pPr>
            <w:r w:rsidRPr="009A6C34">
              <w:t>10-19</w:t>
            </w:r>
          </w:p>
        </w:tc>
        <w:tc>
          <w:tcPr>
            <w:tcW w:w="1174" w:type="pct"/>
          </w:tcPr>
          <w:p w14:paraId="287C183B"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0</w:t>
            </w:r>
          </w:p>
        </w:tc>
        <w:tc>
          <w:tcPr>
            <w:tcW w:w="2249" w:type="pct"/>
          </w:tcPr>
          <w:p w14:paraId="3BBA44C8"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42</w:t>
            </w:r>
          </w:p>
        </w:tc>
      </w:tr>
      <w:tr w:rsidR="009A6C34" w:rsidRPr="009A6C34" w14:paraId="03D93F07"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7" w:type="pct"/>
          </w:tcPr>
          <w:p w14:paraId="7C307214" w14:textId="77777777" w:rsidR="009A6C34" w:rsidRPr="009A6C34" w:rsidRDefault="009A6C34" w:rsidP="001313A1">
            <w:pPr>
              <w:keepNext/>
              <w:jc w:val="center"/>
            </w:pPr>
            <w:r w:rsidRPr="009A6C34">
              <w:t>20-29</w:t>
            </w:r>
          </w:p>
        </w:tc>
        <w:tc>
          <w:tcPr>
            <w:tcW w:w="1174" w:type="pct"/>
          </w:tcPr>
          <w:p w14:paraId="6995675E"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0</w:t>
            </w:r>
          </w:p>
        </w:tc>
        <w:tc>
          <w:tcPr>
            <w:tcW w:w="2249" w:type="pct"/>
          </w:tcPr>
          <w:p w14:paraId="23AB75F7"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172</w:t>
            </w:r>
          </w:p>
        </w:tc>
      </w:tr>
      <w:tr w:rsidR="009A6C34" w:rsidRPr="009A6C34" w14:paraId="1E95138C" w14:textId="77777777" w:rsidTr="001649BC">
        <w:trPr>
          <w:jc w:val="center"/>
        </w:trPr>
        <w:tc>
          <w:tcPr>
            <w:cnfStyle w:val="001000000000" w:firstRow="0" w:lastRow="0" w:firstColumn="1" w:lastColumn="0" w:oddVBand="0" w:evenVBand="0" w:oddHBand="0" w:evenHBand="0" w:firstRowFirstColumn="0" w:firstRowLastColumn="0" w:lastRowFirstColumn="0" w:lastRowLastColumn="0"/>
            <w:tcW w:w="1577" w:type="pct"/>
          </w:tcPr>
          <w:p w14:paraId="4053AF28" w14:textId="77777777" w:rsidR="009A6C34" w:rsidRPr="009A6C34" w:rsidRDefault="009A6C34" w:rsidP="001313A1">
            <w:pPr>
              <w:keepNext/>
              <w:jc w:val="center"/>
            </w:pPr>
            <w:r w:rsidRPr="009A6C34">
              <w:t>30-39</w:t>
            </w:r>
          </w:p>
        </w:tc>
        <w:tc>
          <w:tcPr>
            <w:tcW w:w="1174" w:type="pct"/>
          </w:tcPr>
          <w:p w14:paraId="65737389"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1</w:t>
            </w:r>
          </w:p>
        </w:tc>
        <w:tc>
          <w:tcPr>
            <w:tcW w:w="2249" w:type="pct"/>
          </w:tcPr>
          <w:p w14:paraId="19243F17"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251</w:t>
            </w:r>
          </w:p>
        </w:tc>
      </w:tr>
      <w:tr w:rsidR="009A6C34" w:rsidRPr="009A6C34" w14:paraId="3F86855C"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7" w:type="pct"/>
          </w:tcPr>
          <w:p w14:paraId="581BB28E" w14:textId="77777777" w:rsidR="009A6C34" w:rsidRPr="009A6C34" w:rsidRDefault="009A6C34" w:rsidP="001313A1">
            <w:pPr>
              <w:keepNext/>
              <w:jc w:val="center"/>
            </w:pPr>
            <w:r w:rsidRPr="009A6C34">
              <w:t>40-49</w:t>
            </w:r>
          </w:p>
        </w:tc>
        <w:tc>
          <w:tcPr>
            <w:tcW w:w="1174" w:type="pct"/>
          </w:tcPr>
          <w:p w14:paraId="399DE37A"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1</w:t>
            </w:r>
          </w:p>
        </w:tc>
        <w:tc>
          <w:tcPr>
            <w:tcW w:w="2249" w:type="pct"/>
          </w:tcPr>
          <w:p w14:paraId="792C9CC1"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160</w:t>
            </w:r>
          </w:p>
        </w:tc>
      </w:tr>
      <w:tr w:rsidR="009A6C34" w:rsidRPr="009A6C34" w14:paraId="68C307E0" w14:textId="77777777" w:rsidTr="001649BC">
        <w:trPr>
          <w:jc w:val="center"/>
        </w:trPr>
        <w:tc>
          <w:tcPr>
            <w:cnfStyle w:val="001000000000" w:firstRow="0" w:lastRow="0" w:firstColumn="1" w:lastColumn="0" w:oddVBand="0" w:evenVBand="0" w:oddHBand="0" w:evenHBand="0" w:firstRowFirstColumn="0" w:firstRowLastColumn="0" w:lastRowFirstColumn="0" w:lastRowLastColumn="0"/>
            <w:tcW w:w="1577" w:type="pct"/>
          </w:tcPr>
          <w:p w14:paraId="26B6EDF8" w14:textId="265205BD" w:rsidR="009A6C34" w:rsidRPr="009A6C34" w:rsidRDefault="00D8104C" w:rsidP="00D8104C">
            <w:pPr>
              <w:keepNext/>
              <w:tabs>
                <w:tab w:val="center" w:pos="1366"/>
                <w:tab w:val="right" w:pos="2733"/>
              </w:tabs>
            </w:pPr>
            <w:r>
              <w:tab/>
            </w:r>
            <w:r w:rsidR="009A6C34" w:rsidRPr="009A6C34">
              <w:t>50-59</w:t>
            </w:r>
            <w:r>
              <w:tab/>
            </w:r>
          </w:p>
        </w:tc>
        <w:tc>
          <w:tcPr>
            <w:tcW w:w="1174" w:type="pct"/>
          </w:tcPr>
          <w:p w14:paraId="52D40AE0"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3</w:t>
            </w:r>
          </w:p>
        </w:tc>
        <w:tc>
          <w:tcPr>
            <w:tcW w:w="2249" w:type="pct"/>
          </w:tcPr>
          <w:p w14:paraId="2BB20DAA"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158</w:t>
            </w:r>
          </w:p>
        </w:tc>
      </w:tr>
      <w:tr w:rsidR="009A6C34" w:rsidRPr="009A6C34" w14:paraId="37AE265D"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7" w:type="pct"/>
          </w:tcPr>
          <w:p w14:paraId="1D120367" w14:textId="77777777" w:rsidR="009A6C34" w:rsidRPr="009A6C34" w:rsidRDefault="009A6C34" w:rsidP="001313A1">
            <w:pPr>
              <w:keepNext/>
              <w:jc w:val="center"/>
            </w:pPr>
            <w:r w:rsidRPr="009A6C34">
              <w:t>60-69</w:t>
            </w:r>
          </w:p>
        </w:tc>
        <w:tc>
          <w:tcPr>
            <w:tcW w:w="1174" w:type="pct"/>
          </w:tcPr>
          <w:p w14:paraId="571956E4"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12</w:t>
            </w:r>
          </w:p>
        </w:tc>
        <w:tc>
          <w:tcPr>
            <w:tcW w:w="2249" w:type="pct"/>
          </w:tcPr>
          <w:p w14:paraId="022745D1"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134</w:t>
            </w:r>
          </w:p>
        </w:tc>
      </w:tr>
      <w:tr w:rsidR="009A6C34" w:rsidRPr="009A6C34" w14:paraId="0B1C37D2" w14:textId="77777777" w:rsidTr="001649BC">
        <w:trPr>
          <w:jc w:val="center"/>
        </w:trPr>
        <w:tc>
          <w:tcPr>
            <w:cnfStyle w:val="001000000000" w:firstRow="0" w:lastRow="0" w:firstColumn="1" w:lastColumn="0" w:oddVBand="0" w:evenVBand="0" w:oddHBand="0" w:evenHBand="0" w:firstRowFirstColumn="0" w:firstRowLastColumn="0" w:lastRowFirstColumn="0" w:lastRowLastColumn="0"/>
            <w:tcW w:w="1577" w:type="pct"/>
          </w:tcPr>
          <w:p w14:paraId="2F02838C" w14:textId="77777777" w:rsidR="009A6C34" w:rsidRPr="009A6C34" w:rsidRDefault="009A6C34" w:rsidP="001313A1">
            <w:pPr>
              <w:keepNext/>
              <w:jc w:val="center"/>
            </w:pPr>
            <w:r w:rsidRPr="009A6C34">
              <w:t>70-79</w:t>
            </w:r>
          </w:p>
        </w:tc>
        <w:tc>
          <w:tcPr>
            <w:tcW w:w="1174" w:type="pct"/>
          </w:tcPr>
          <w:p w14:paraId="0E7D6076"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5</w:t>
            </w:r>
          </w:p>
        </w:tc>
        <w:tc>
          <w:tcPr>
            <w:tcW w:w="2249" w:type="pct"/>
          </w:tcPr>
          <w:p w14:paraId="7AEA5718"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79</w:t>
            </w:r>
          </w:p>
        </w:tc>
      </w:tr>
      <w:tr w:rsidR="009A6C34" w:rsidRPr="009A6C34" w14:paraId="7AB6B5C2"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7" w:type="pct"/>
          </w:tcPr>
          <w:p w14:paraId="54962FC1" w14:textId="77777777" w:rsidR="009A6C34" w:rsidRPr="009A6C34" w:rsidRDefault="009A6C34" w:rsidP="001313A1">
            <w:pPr>
              <w:keepNext/>
              <w:jc w:val="center"/>
            </w:pPr>
            <w:r w:rsidRPr="009A6C34">
              <w:t>80-89</w:t>
            </w:r>
          </w:p>
        </w:tc>
        <w:tc>
          <w:tcPr>
            <w:tcW w:w="1174" w:type="pct"/>
          </w:tcPr>
          <w:p w14:paraId="20B2EF5C"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16</w:t>
            </w:r>
          </w:p>
        </w:tc>
        <w:tc>
          <w:tcPr>
            <w:tcW w:w="2249" w:type="pct"/>
          </w:tcPr>
          <w:p w14:paraId="0B9553A6"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73</w:t>
            </w:r>
          </w:p>
        </w:tc>
      </w:tr>
      <w:tr w:rsidR="009A6C34" w:rsidRPr="009A6C34" w14:paraId="03D7504D" w14:textId="77777777" w:rsidTr="001649BC">
        <w:trPr>
          <w:jc w:val="center"/>
        </w:trPr>
        <w:tc>
          <w:tcPr>
            <w:cnfStyle w:val="001000000000" w:firstRow="0" w:lastRow="0" w:firstColumn="1" w:lastColumn="0" w:oddVBand="0" w:evenVBand="0" w:oddHBand="0" w:evenHBand="0" w:firstRowFirstColumn="0" w:firstRowLastColumn="0" w:lastRowFirstColumn="0" w:lastRowLastColumn="0"/>
            <w:tcW w:w="1577" w:type="pct"/>
          </w:tcPr>
          <w:p w14:paraId="4E67C4FE" w14:textId="77777777" w:rsidR="009A6C34" w:rsidRPr="009A6C34" w:rsidRDefault="009A6C34" w:rsidP="001313A1">
            <w:pPr>
              <w:keepNext/>
              <w:jc w:val="center"/>
            </w:pPr>
            <w:r w:rsidRPr="009A6C34">
              <w:t>90-99</w:t>
            </w:r>
          </w:p>
        </w:tc>
        <w:tc>
          <w:tcPr>
            <w:tcW w:w="1174" w:type="pct"/>
          </w:tcPr>
          <w:p w14:paraId="7DFD254D" w14:textId="77777777" w:rsidR="009A6C34" w:rsidRPr="009A6C34" w:rsidRDefault="009A6C34" w:rsidP="00F37817">
            <w:pPr>
              <w:keepNext/>
              <w:jc w:val="right"/>
              <w:cnfStyle w:val="000000000000" w:firstRow="0" w:lastRow="0" w:firstColumn="0" w:lastColumn="0" w:oddVBand="0" w:evenVBand="0" w:oddHBand="0" w:evenHBand="0" w:firstRowFirstColumn="0" w:firstRowLastColumn="0" w:lastRowFirstColumn="0" w:lastRowLastColumn="0"/>
            </w:pPr>
            <w:r w:rsidRPr="009A6C34">
              <w:t>11</w:t>
            </w:r>
          </w:p>
        </w:tc>
        <w:tc>
          <w:tcPr>
            <w:tcW w:w="2249" w:type="pct"/>
          </w:tcPr>
          <w:p w14:paraId="738D03CA" w14:textId="27AF48D7" w:rsidR="009A6C34" w:rsidRPr="009A6C34" w:rsidRDefault="001313A1" w:rsidP="00F37817">
            <w:pPr>
              <w:keepNext/>
              <w:jc w:val="right"/>
              <w:cnfStyle w:val="000000000000" w:firstRow="0" w:lastRow="0" w:firstColumn="0" w:lastColumn="0" w:oddVBand="0" w:evenVBand="0" w:oddHBand="0" w:evenHBand="0" w:firstRowFirstColumn="0" w:firstRowLastColumn="0" w:lastRowFirstColumn="0" w:lastRowLastColumn="0"/>
            </w:pPr>
            <w:r>
              <w:t>3</w:t>
            </w:r>
            <w:r w:rsidR="009A6C34" w:rsidRPr="009A6C34">
              <w:t>5</w:t>
            </w:r>
          </w:p>
        </w:tc>
      </w:tr>
      <w:tr w:rsidR="009A6C34" w:rsidRPr="009A6C34" w14:paraId="1B6F5697" w14:textId="77777777" w:rsidTr="00164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7" w:type="pct"/>
          </w:tcPr>
          <w:p w14:paraId="76304D72" w14:textId="77777777" w:rsidR="009A6C34" w:rsidRPr="009A6C34" w:rsidRDefault="009A6C34" w:rsidP="001313A1">
            <w:pPr>
              <w:keepNext/>
              <w:jc w:val="center"/>
            </w:pPr>
            <w:r w:rsidRPr="009A6C34">
              <w:t>100-</w:t>
            </w:r>
          </w:p>
        </w:tc>
        <w:tc>
          <w:tcPr>
            <w:tcW w:w="1174" w:type="pct"/>
          </w:tcPr>
          <w:p w14:paraId="36180673"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3</w:t>
            </w:r>
          </w:p>
        </w:tc>
        <w:tc>
          <w:tcPr>
            <w:tcW w:w="2249" w:type="pct"/>
          </w:tcPr>
          <w:p w14:paraId="52BC4351" w14:textId="77777777" w:rsidR="009A6C34" w:rsidRPr="009A6C34" w:rsidRDefault="009A6C34" w:rsidP="00F37817">
            <w:pPr>
              <w:keepNext/>
              <w:jc w:val="right"/>
              <w:cnfStyle w:val="000000100000" w:firstRow="0" w:lastRow="0" w:firstColumn="0" w:lastColumn="0" w:oddVBand="0" w:evenVBand="0" w:oddHBand="1" w:evenHBand="0" w:firstRowFirstColumn="0" w:firstRowLastColumn="0" w:lastRowFirstColumn="0" w:lastRowLastColumn="0"/>
            </w:pPr>
            <w:r w:rsidRPr="009A6C34">
              <w:t>3</w:t>
            </w:r>
          </w:p>
        </w:tc>
      </w:tr>
      <w:tr w:rsidR="009A6C34" w:rsidRPr="009A6C34" w14:paraId="29198AA7" w14:textId="77777777" w:rsidTr="001649B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7" w:type="pct"/>
          </w:tcPr>
          <w:p w14:paraId="1959A25E" w14:textId="77777777" w:rsidR="009A6C34" w:rsidRPr="009A6C34" w:rsidRDefault="009A6C34" w:rsidP="001313A1">
            <w:pPr>
              <w:keepNext/>
              <w:jc w:val="center"/>
            </w:pPr>
            <w:r w:rsidRPr="009A6C34">
              <w:t>Total</w:t>
            </w:r>
          </w:p>
        </w:tc>
        <w:tc>
          <w:tcPr>
            <w:tcW w:w="1174" w:type="pct"/>
          </w:tcPr>
          <w:p w14:paraId="1EB6BCE1" w14:textId="71FC165C" w:rsidR="009A6C34" w:rsidRPr="009A6C34" w:rsidRDefault="001313A1" w:rsidP="00F37817">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52</w:t>
            </w:r>
            <w:r>
              <w:fldChar w:fldCharType="end"/>
            </w:r>
          </w:p>
        </w:tc>
        <w:tc>
          <w:tcPr>
            <w:tcW w:w="2249" w:type="pct"/>
          </w:tcPr>
          <w:p w14:paraId="6378B736" w14:textId="4117C9C9" w:rsidR="009A6C34" w:rsidRPr="009A6C34" w:rsidRDefault="001313A1" w:rsidP="00F37817">
            <w:pPr>
              <w:keepNext/>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1,129</w:t>
            </w:r>
            <w:r>
              <w:fldChar w:fldCharType="end"/>
            </w:r>
          </w:p>
        </w:tc>
      </w:tr>
    </w:tbl>
    <w:p w14:paraId="74757287" w14:textId="3BB6C9AC" w:rsidR="009A6C34" w:rsidRPr="001313A1" w:rsidRDefault="009A6C34" w:rsidP="001649BC">
      <w:pPr>
        <w:jc w:val="right"/>
        <w:rPr>
          <w:i/>
          <w:iCs/>
          <w:sz w:val="18"/>
          <w:szCs w:val="18"/>
        </w:rPr>
      </w:pPr>
      <w:r w:rsidRPr="001313A1">
        <w:rPr>
          <w:i/>
          <w:iCs/>
          <w:sz w:val="18"/>
          <w:szCs w:val="18"/>
        </w:rPr>
        <w:t>Cincinnati Health Department March 23 – June 1 data</w:t>
      </w:r>
    </w:p>
    <w:p w14:paraId="0BB90CAC" w14:textId="450D6A58" w:rsidR="009A6C34" w:rsidRDefault="009A6C34" w:rsidP="001313A1">
      <w:pPr>
        <w:pStyle w:val="Heading2"/>
        <w:jc w:val="center"/>
      </w:pPr>
      <w:r>
        <w:lastRenderedPageBreak/>
        <w:t>Geographic Distribution</w:t>
      </w:r>
    </w:p>
    <w:p w14:paraId="778A477D" w14:textId="76DDDF3D" w:rsidR="009A6C34" w:rsidRDefault="009A6C34" w:rsidP="00776839">
      <w:pPr>
        <w:pStyle w:val="Heading3"/>
      </w:pPr>
      <w:r>
        <w:t>Confirmed Cases</w:t>
      </w:r>
    </w:p>
    <w:p w14:paraId="38CA171B" w14:textId="3C16FCF8" w:rsidR="009A6C34" w:rsidRDefault="009A6C34" w:rsidP="009A6C34">
      <w:r>
        <w:t xml:space="preserve">The coronavirus in Cincinnati is concentrated on the far west side.  More than half the confirmed cases as of June 1 were concentrated in </w:t>
      </w:r>
      <w:r w:rsidR="00776839">
        <w:t>seven</w:t>
      </w:r>
      <w:r>
        <w:t xml:space="preserve"> West Side Neighborhoods from Lower Price Hill to the city boundary.  This cluster includes Westwood (209), East Westwood (21), Mt. Airy (40), West Price Hill (114), East Price Hill (154), College Hill (48), and Lower Price Hill (8).  A cluster of seven neighbo</w:t>
      </w:r>
      <w:r w:rsidR="007E5707">
        <w:t>r</w:t>
      </w:r>
      <w:r>
        <w:t>hoods on the East Side (Reading Road / Montgomery Road Corridors) had only 141 cases, less than East Price Hill alone.  These east side neighborhoods are Avondale (47), Mt. Auburn (11), Walnut Hills (20), East Walnut Hills (8), Evanston (19), North Avondale (7),</w:t>
      </w:r>
      <w:r w:rsidR="00D91C93">
        <w:t xml:space="preserve"> and</w:t>
      </w:r>
      <w:r>
        <w:t xml:space="preserve"> Bond Hill (29).  Is the East Side/West </w:t>
      </w:r>
      <w:r w:rsidR="007E5707">
        <w:t>Side</w:t>
      </w:r>
      <w:r>
        <w:t xml:space="preserve"> difference in </w:t>
      </w:r>
      <w:r w:rsidR="007E5707">
        <w:t xml:space="preserve">occurrences because some of the west side communities have a larger population size?  The difference does not seem to be </w:t>
      </w:r>
      <w:r w:rsidR="00415EB0">
        <w:t>wide</w:t>
      </w:r>
      <w:r w:rsidR="007E5707">
        <w:t xml:space="preserve"> enough to explain the level of variation.  Is it because the west side has more access to testing?  At the time of this writing, most of the test sites are on the East Side.  Right </w:t>
      </w:r>
      <w:r w:rsidR="001649BC">
        <w:t>now,</w:t>
      </w:r>
      <w:r w:rsidR="007E5707">
        <w:t xml:space="preserve"> we can be sure that the data we have show the epicenter of the pandemic in Cincinnati is on the West Side.</w:t>
      </w:r>
    </w:p>
    <w:tbl>
      <w:tblPr>
        <w:tblStyle w:val="GridTable4-Accent5"/>
        <w:tblpPr w:leftFromText="180" w:rightFromText="180" w:vertAnchor="text" w:horzAnchor="margin" w:tblpY="78"/>
        <w:tblW w:w="5000" w:type="pct"/>
        <w:tblLook w:val="04A0" w:firstRow="1" w:lastRow="0" w:firstColumn="1" w:lastColumn="0" w:noHBand="0" w:noVBand="1"/>
      </w:tblPr>
      <w:tblGrid>
        <w:gridCol w:w="4086"/>
        <w:gridCol w:w="1260"/>
        <w:gridCol w:w="2745"/>
        <w:gridCol w:w="1259"/>
      </w:tblGrid>
      <w:tr w:rsidR="00A769AF" w:rsidRPr="00385D81" w14:paraId="3EE3DA85" w14:textId="77777777" w:rsidTr="00A769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5" w:type="pct"/>
          </w:tcPr>
          <w:p w14:paraId="67E43101" w14:textId="77777777" w:rsidR="00A769AF" w:rsidRPr="00385D81" w:rsidRDefault="00A769AF" w:rsidP="00A769AF">
            <w:pPr>
              <w:keepNext/>
              <w:jc w:val="center"/>
            </w:pPr>
            <w:r>
              <w:t>Neighborhood</w:t>
            </w:r>
          </w:p>
        </w:tc>
        <w:tc>
          <w:tcPr>
            <w:tcW w:w="674" w:type="pct"/>
          </w:tcPr>
          <w:p w14:paraId="3838E3AE" w14:textId="77777777" w:rsidR="00A769AF" w:rsidRDefault="00A769AF" w:rsidP="00A769AF">
            <w:pPr>
              <w:keepNext/>
              <w:jc w:val="center"/>
              <w:cnfStyle w:val="100000000000" w:firstRow="1" w:lastRow="0" w:firstColumn="0" w:lastColumn="0" w:oddVBand="0" w:evenVBand="0" w:oddHBand="0" w:evenHBand="0" w:firstRowFirstColumn="0" w:firstRowLastColumn="0" w:lastRowFirstColumn="0" w:lastRowLastColumn="0"/>
            </w:pPr>
            <w:r>
              <w:t>Case Count</w:t>
            </w:r>
          </w:p>
        </w:tc>
        <w:tc>
          <w:tcPr>
            <w:tcW w:w="1468" w:type="pct"/>
          </w:tcPr>
          <w:p w14:paraId="79836EC3" w14:textId="77777777" w:rsidR="00A769AF" w:rsidRDefault="00A769AF" w:rsidP="00A769AF">
            <w:pPr>
              <w:keepNext/>
              <w:jc w:val="center"/>
              <w:cnfStyle w:val="100000000000" w:firstRow="1" w:lastRow="0" w:firstColumn="0" w:lastColumn="0" w:oddVBand="0" w:evenVBand="0" w:oddHBand="0" w:evenHBand="0" w:firstRowFirstColumn="0" w:firstRowLastColumn="0" w:lastRowFirstColumn="0" w:lastRowLastColumn="0"/>
            </w:pPr>
            <w:r>
              <w:t>Neighborhood</w:t>
            </w:r>
          </w:p>
        </w:tc>
        <w:tc>
          <w:tcPr>
            <w:tcW w:w="674" w:type="pct"/>
          </w:tcPr>
          <w:p w14:paraId="423D25E7" w14:textId="77777777" w:rsidR="00A769AF" w:rsidRDefault="00A769AF" w:rsidP="00A769AF">
            <w:pPr>
              <w:keepNext/>
              <w:jc w:val="center"/>
              <w:cnfStyle w:val="100000000000" w:firstRow="1" w:lastRow="0" w:firstColumn="0" w:lastColumn="0" w:oddVBand="0" w:evenVBand="0" w:oddHBand="0" w:evenHBand="0" w:firstRowFirstColumn="0" w:firstRowLastColumn="0" w:lastRowFirstColumn="0" w:lastRowLastColumn="0"/>
            </w:pPr>
            <w:r>
              <w:t>Case Count</w:t>
            </w:r>
          </w:p>
        </w:tc>
      </w:tr>
      <w:tr w:rsidR="00A769AF" w:rsidRPr="00385D81" w14:paraId="2F3F4062"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464304B8" w14:textId="77777777" w:rsidR="00A769AF" w:rsidRPr="00AB389B" w:rsidRDefault="00A769AF" w:rsidP="00A769AF">
            <w:pPr>
              <w:rPr>
                <w:b w:val="0"/>
                <w:bCs w:val="0"/>
              </w:rPr>
            </w:pPr>
            <w:r w:rsidRPr="00AB389B">
              <w:rPr>
                <w:b w:val="0"/>
                <w:bCs w:val="0"/>
              </w:rPr>
              <w:t>Queensgate</w:t>
            </w:r>
          </w:p>
        </w:tc>
        <w:tc>
          <w:tcPr>
            <w:tcW w:w="674" w:type="pct"/>
          </w:tcPr>
          <w:p w14:paraId="1418EFF9"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2</w:t>
            </w:r>
          </w:p>
        </w:tc>
        <w:tc>
          <w:tcPr>
            <w:tcW w:w="1468" w:type="pct"/>
          </w:tcPr>
          <w:p w14:paraId="1BBAD0DE"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Roselawn</w:t>
            </w:r>
          </w:p>
        </w:tc>
        <w:tc>
          <w:tcPr>
            <w:tcW w:w="674" w:type="pct"/>
          </w:tcPr>
          <w:p w14:paraId="68EB8AF8"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20</w:t>
            </w:r>
          </w:p>
        </w:tc>
      </w:tr>
      <w:tr w:rsidR="00A769AF" w:rsidRPr="00385D81" w14:paraId="4721D93D"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2895C5D9" w14:textId="77777777" w:rsidR="00A769AF" w:rsidRPr="00AB389B" w:rsidRDefault="00A769AF" w:rsidP="00A769AF">
            <w:pPr>
              <w:rPr>
                <w:b w:val="0"/>
                <w:bCs w:val="0"/>
              </w:rPr>
            </w:pPr>
            <w:r w:rsidRPr="00AB389B">
              <w:rPr>
                <w:b w:val="0"/>
                <w:bCs w:val="0"/>
              </w:rPr>
              <w:t>West End</w:t>
            </w:r>
          </w:p>
        </w:tc>
        <w:tc>
          <w:tcPr>
            <w:tcW w:w="674" w:type="pct"/>
          </w:tcPr>
          <w:p w14:paraId="14D3CBEF"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13</w:t>
            </w:r>
          </w:p>
        </w:tc>
        <w:tc>
          <w:tcPr>
            <w:tcW w:w="1468" w:type="pct"/>
          </w:tcPr>
          <w:p w14:paraId="1C4348D9"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Bond Hill</w:t>
            </w:r>
          </w:p>
        </w:tc>
        <w:tc>
          <w:tcPr>
            <w:tcW w:w="674" w:type="pct"/>
          </w:tcPr>
          <w:p w14:paraId="5C4E6913"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29</w:t>
            </w:r>
          </w:p>
        </w:tc>
      </w:tr>
      <w:tr w:rsidR="00A769AF" w:rsidRPr="00385D81" w14:paraId="098ABBCC"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7897E31B" w14:textId="77777777" w:rsidR="00A769AF" w:rsidRPr="00AB389B" w:rsidRDefault="00A769AF" w:rsidP="00A769AF">
            <w:pPr>
              <w:rPr>
                <w:b w:val="0"/>
                <w:bCs w:val="0"/>
              </w:rPr>
            </w:pPr>
            <w:r w:rsidRPr="00AB389B">
              <w:rPr>
                <w:b w:val="0"/>
                <w:bCs w:val="0"/>
              </w:rPr>
              <w:t>CBD-Riverfront</w:t>
            </w:r>
          </w:p>
        </w:tc>
        <w:tc>
          <w:tcPr>
            <w:tcW w:w="674" w:type="pct"/>
          </w:tcPr>
          <w:p w14:paraId="75F07CDD"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9</w:t>
            </w:r>
          </w:p>
        </w:tc>
        <w:tc>
          <w:tcPr>
            <w:tcW w:w="1468" w:type="pct"/>
          </w:tcPr>
          <w:p w14:paraId="25F32671"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N. Avondale – Paddock Hills</w:t>
            </w:r>
          </w:p>
        </w:tc>
        <w:tc>
          <w:tcPr>
            <w:tcW w:w="674" w:type="pct"/>
          </w:tcPr>
          <w:p w14:paraId="7C169623"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7</w:t>
            </w:r>
          </w:p>
        </w:tc>
      </w:tr>
      <w:tr w:rsidR="00A769AF" w:rsidRPr="00385D81" w14:paraId="6A4582F7"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2A5336FC" w14:textId="77777777" w:rsidR="00A769AF" w:rsidRPr="00AB389B" w:rsidRDefault="00A769AF" w:rsidP="00A769AF">
            <w:pPr>
              <w:rPr>
                <w:b w:val="0"/>
                <w:bCs w:val="0"/>
              </w:rPr>
            </w:pPr>
            <w:r w:rsidRPr="00AB389B">
              <w:rPr>
                <w:b w:val="0"/>
                <w:bCs w:val="0"/>
              </w:rPr>
              <w:t>Over-the-Rhine</w:t>
            </w:r>
          </w:p>
        </w:tc>
        <w:tc>
          <w:tcPr>
            <w:tcW w:w="674" w:type="pct"/>
          </w:tcPr>
          <w:p w14:paraId="55712C06"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7</w:t>
            </w:r>
          </w:p>
        </w:tc>
        <w:tc>
          <w:tcPr>
            <w:tcW w:w="1468" w:type="pct"/>
          </w:tcPr>
          <w:p w14:paraId="71B2D125"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Avondale</w:t>
            </w:r>
          </w:p>
        </w:tc>
        <w:tc>
          <w:tcPr>
            <w:tcW w:w="674" w:type="pct"/>
          </w:tcPr>
          <w:p w14:paraId="740E7904"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47</w:t>
            </w:r>
          </w:p>
        </w:tc>
      </w:tr>
      <w:tr w:rsidR="00A769AF" w:rsidRPr="00385D81" w14:paraId="5B047880"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07BE28F5" w14:textId="77777777" w:rsidR="00A769AF" w:rsidRPr="00AB389B" w:rsidRDefault="00A769AF" w:rsidP="00A769AF">
            <w:pPr>
              <w:rPr>
                <w:b w:val="0"/>
                <w:bCs w:val="0"/>
              </w:rPr>
            </w:pPr>
            <w:r w:rsidRPr="00AB389B">
              <w:rPr>
                <w:b w:val="0"/>
                <w:bCs w:val="0"/>
              </w:rPr>
              <w:t>Mt. Adams</w:t>
            </w:r>
          </w:p>
        </w:tc>
        <w:tc>
          <w:tcPr>
            <w:tcW w:w="674" w:type="pct"/>
          </w:tcPr>
          <w:p w14:paraId="2535EFB6"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0</w:t>
            </w:r>
          </w:p>
        </w:tc>
        <w:tc>
          <w:tcPr>
            <w:tcW w:w="1468" w:type="pct"/>
          </w:tcPr>
          <w:p w14:paraId="2139CF25"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Clifton</w:t>
            </w:r>
          </w:p>
        </w:tc>
        <w:tc>
          <w:tcPr>
            <w:tcW w:w="674" w:type="pct"/>
          </w:tcPr>
          <w:p w14:paraId="41CC707E"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18</w:t>
            </w:r>
          </w:p>
        </w:tc>
      </w:tr>
      <w:tr w:rsidR="00A769AF" w14:paraId="05E5EC44"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558FA176" w14:textId="77777777" w:rsidR="00A769AF" w:rsidRPr="00AB389B" w:rsidRDefault="00A769AF" w:rsidP="00A769AF">
            <w:pPr>
              <w:rPr>
                <w:b w:val="0"/>
                <w:bCs w:val="0"/>
              </w:rPr>
            </w:pPr>
            <w:r w:rsidRPr="00AB389B">
              <w:rPr>
                <w:b w:val="0"/>
                <w:bCs w:val="0"/>
              </w:rPr>
              <w:t>Mt. Auburn</w:t>
            </w:r>
          </w:p>
        </w:tc>
        <w:tc>
          <w:tcPr>
            <w:tcW w:w="674" w:type="pct"/>
          </w:tcPr>
          <w:p w14:paraId="02321957"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11</w:t>
            </w:r>
          </w:p>
        </w:tc>
        <w:tc>
          <w:tcPr>
            <w:tcW w:w="1468" w:type="pct"/>
          </w:tcPr>
          <w:p w14:paraId="5702E08B"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Spring Grove Village</w:t>
            </w:r>
          </w:p>
        </w:tc>
        <w:tc>
          <w:tcPr>
            <w:tcW w:w="674" w:type="pct"/>
          </w:tcPr>
          <w:p w14:paraId="246D0858"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5</w:t>
            </w:r>
          </w:p>
        </w:tc>
      </w:tr>
      <w:tr w:rsidR="00A769AF" w14:paraId="2CF37E91"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60A5AD71" w14:textId="77777777" w:rsidR="00A769AF" w:rsidRPr="00AB389B" w:rsidRDefault="00A769AF" w:rsidP="00A769AF">
            <w:pPr>
              <w:rPr>
                <w:b w:val="0"/>
                <w:bCs w:val="0"/>
              </w:rPr>
            </w:pPr>
            <w:r w:rsidRPr="00AB389B">
              <w:rPr>
                <w:b w:val="0"/>
                <w:bCs w:val="0"/>
              </w:rPr>
              <w:t>Clifton/University Heights—Fairview (CUF)</w:t>
            </w:r>
          </w:p>
        </w:tc>
        <w:tc>
          <w:tcPr>
            <w:tcW w:w="674" w:type="pct"/>
          </w:tcPr>
          <w:p w14:paraId="4EFB9F7E"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9</w:t>
            </w:r>
          </w:p>
        </w:tc>
        <w:tc>
          <w:tcPr>
            <w:tcW w:w="1468" w:type="pct"/>
          </w:tcPr>
          <w:p w14:paraId="26227DA4"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Northside</w:t>
            </w:r>
          </w:p>
        </w:tc>
        <w:tc>
          <w:tcPr>
            <w:tcW w:w="674" w:type="pct"/>
          </w:tcPr>
          <w:p w14:paraId="143AC064"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17</w:t>
            </w:r>
          </w:p>
        </w:tc>
      </w:tr>
      <w:tr w:rsidR="00A769AF" w14:paraId="438B3B49"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144B4A09" w14:textId="77777777" w:rsidR="00A769AF" w:rsidRPr="00AB389B" w:rsidRDefault="00A769AF" w:rsidP="00A769AF">
            <w:pPr>
              <w:rPr>
                <w:b w:val="0"/>
                <w:bCs w:val="0"/>
              </w:rPr>
            </w:pPr>
            <w:r w:rsidRPr="00AB389B">
              <w:rPr>
                <w:b w:val="0"/>
                <w:bCs w:val="0"/>
              </w:rPr>
              <w:t>Camp Washington</w:t>
            </w:r>
          </w:p>
        </w:tc>
        <w:tc>
          <w:tcPr>
            <w:tcW w:w="674" w:type="pct"/>
          </w:tcPr>
          <w:p w14:paraId="2763E814"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2</w:t>
            </w:r>
          </w:p>
        </w:tc>
        <w:tc>
          <w:tcPr>
            <w:tcW w:w="1468" w:type="pct"/>
          </w:tcPr>
          <w:p w14:paraId="3ECB1292"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S. Cumminsville</w:t>
            </w:r>
          </w:p>
        </w:tc>
        <w:tc>
          <w:tcPr>
            <w:tcW w:w="674" w:type="pct"/>
          </w:tcPr>
          <w:p w14:paraId="0F943393"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3</w:t>
            </w:r>
          </w:p>
        </w:tc>
      </w:tr>
      <w:tr w:rsidR="00A769AF" w14:paraId="2E702E8A"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4F6E31CA" w14:textId="77777777" w:rsidR="00A769AF" w:rsidRPr="00AB389B" w:rsidRDefault="00A769AF" w:rsidP="00A769AF">
            <w:pPr>
              <w:rPr>
                <w:b w:val="0"/>
                <w:bCs w:val="0"/>
              </w:rPr>
            </w:pPr>
            <w:r w:rsidRPr="00AB389B">
              <w:rPr>
                <w:b w:val="0"/>
                <w:bCs w:val="0"/>
              </w:rPr>
              <w:t>Corryville</w:t>
            </w:r>
          </w:p>
        </w:tc>
        <w:tc>
          <w:tcPr>
            <w:tcW w:w="674" w:type="pct"/>
          </w:tcPr>
          <w:p w14:paraId="5178FD28"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3</w:t>
            </w:r>
          </w:p>
        </w:tc>
        <w:tc>
          <w:tcPr>
            <w:tcW w:w="1468" w:type="pct"/>
          </w:tcPr>
          <w:p w14:paraId="2994BB27"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Winton Hills</w:t>
            </w:r>
          </w:p>
        </w:tc>
        <w:tc>
          <w:tcPr>
            <w:tcW w:w="674" w:type="pct"/>
          </w:tcPr>
          <w:p w14:paraId="49DC95EB"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12</w:t>
            </w:r>
          </w:p>
        </w:tc>
      </w:tr>
      <w:tr w:rsidR="00A769AF" w14:paraId="3B3B4A95"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20B639A1" w14:textId="77777777" w:rsidR="00A769AF" w:rsidRPr="00AB389B" w:rsidRDefault="00A769AF" w:rsidP="00A769AF">
            <w:pPr>
              <w:rPr>
                <w:b w:val="0"/>
                <w:bCs w:val="0"/>
              </w:rPr>
            </w:pPr>
            <w:r w:rsidRPr="00AB389B">
              <w:rPr>
                <w:b w:val="0"/>
                <w:bCs w:val="0"/>
              </w:rPr>
              <w:t>Evanston</w:t>
            </w:r>
          </w:p>
        </w:tc>
        <w:tc>
          <w:tcPr>
            <w:tcW w:w="674" w:type="pct"/>
          </w:tcPr>
          <w:p w14:paraId="09CD92A2"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19</w:t>
            </w:r>
          </w:p>
        </w:tc>
        <w:tc>
          <w:tcPr>
            <w:tcW w:w="1468" w:type="pct"/>
          </w:tcPr>
          <w:p w14:paraId="2E7F0CB8"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College Hill</w:t>
            </w:r>
          </w:p>
        </w:tc>
        <w:tc>
          <w:tcPr>
            <w:tcW w:w="674" w:type="pct"/>
          </w:tcPr>
          <w:p w14:paraId="5B17CDB4"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45</w:t>
            </w:r>
          </w:p>
        </w:tc>
      </w:tr>
      <w:tr w:rsidR="00A769AF" w14:paraId="3FD38593"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6CA907F3" w14:textId="77777777" w:rsidR="00A769AF" w:rsidRPr="00AB389B" w:rsidRDefault="00A769AF" w:rsidP="00A769AF">
            <w:pPr>
              <w:rPr>
                <w:b w:val="0"/>
                <w:bCs w:val="0"/>
              </w:rPr>
            </w:pPr>
            <w:r w:rsidRPr="00AB389B">
              <w:rPr>
                <w:b w:val="0"/>
                <w:bCs w:val="0"/>
              </w:rPr>
              <w:t>E. Walnut Hills</w:t>
            </w:r>
          </w:p>
        </w:tc>
        <w:tc>
          <w:tcPr>
            <w:tcW w:w="674" w:type="pct"/>
          </w:tcPr>
          <w:p w14:paraId="2BA2DC9B"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8</w:t>
            </w:r>
          </w:p>
        </w:tc>
        <w:tc>
          <w:tcPr>
            <w:tcW w:w="1468" w:type="pct"/>
          </w:tcPr>
          <w:p w14:paraId="21F5EC5E"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Mt. Airy</w:t>
            </w:r>
          </w:p>
        </w:tc>
        <w:tc>
          <w:tcPr>
            <w:tcW w:w="674" w:type="pct"/>
          </w:tcPr>
          <w:p w14:paraId="7279A59E"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40</w:t>
            </w:r>
          </w:p>
        </w:tc>
      </w:tr>
      <w:tr w:rsidR="00A769AF" w14:paraId="54A06E57"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30B836E3" w14:textId="77777777" w:rsidR="00A769AF" w:rsidRPr="00AB389B" w:rsidRDefault="00A769AF" w:rsidP="00A769AF">
            <w:pPr>
              <w:rPr>
                <w:b w:val="0"/>
                <w:bCs w:val="0"/>
              </w:rPr>
            </w:pPr>
            <w:r w:rsidRPr="00AB389B">
              <w:rPr>
                <w:b w:val="0"/>
                <w:bCs w:val="0"/>
              </w:rPr>
              <w:t>Walnut Hills</w:t>
            </w:r>
          </w:p>
        </w:tc>
        <w:tc>
          <w:tcPr>
            <w:tcW w:w="674" w:type="pct"/>
          </w:tcPr>
          <w:p w14:paraId="261E7E2E"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20</w:t>
            </w:r>
          </w:p>
        </w:tc>
        <w:tc>
          <w:tcPr>
            <w:tcW w:w="1468" w:type="pct"/>
          </w:tcPr>
          <w:p w14:paraId="7ADB6AC5"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Villages of Roll Hill</w:t>
            </w:r>
          </w:p>
        </w:tc>
        <w:tc>
          <w:tcPr>
            <w:tcW w:w="674" w:type="pct"/>
          </w:tcPr>
          <w:p w14:paraId="4E9C1362"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3</w:t>
            </w:r>
          </w:p>
        </w:tc>
      </w:tr>
      <w:tr w:rsidR="00A769AF" w14:paraId="3B15B850"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29B5F458" w14:textId="77777777" w:rsidR="00A769AF" w:rsidRPr="00AB389B" w:rsidRDefault="00A769AF" w:rsidP="00A769AF">
            <w:pPr>
              <w:rPr>
                <w:b w:val="0"/>
                <w:bCs w:val="0"/>
              </w:rPr>
            </w:pPr>
            <w:r w:rsidRPr="00AB389B">
              <w:rPr>
                <w:b w:val="0"/>
                <w:bCs w:val="0"/>
              </w:rPr>
              <w:t>East End</w:t>
            </w:r>
          </w:p>
        </w:tc>
        <w:tc>
          <w:tcPr>
            <w:tcW w:w="674" w:type="pct"/>
          </w:tcPr>
          <w:p w14:paraId="446BADA8"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0</w:t>
            </w:r>
          </w:p>
        </w:tc>
        <w:tc>
          <w:tcPr>
            <w:tcW w:w="1468" w:type="pct"/>
          </w:tcPr>
          <w:p w14:paraId="71F1F021"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N. Fairmount</w:t>
            </w:r>
          </w:p>
        </w:tc>
        <w:tc>
          <w:tcPr>
            <w:tcW w:w="674" w:type="pct"/>
          </w:tcPr>
          <w:p w14:paraId="6996039E"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5</w:t>
            </w:r>
          </w:p>
        </w:tc>
      </w:tr>
      <w:tr w:rsidR="00A769AF" w14:paraId="660D32EB"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4B4CAED4" w14:textId="77777777" w:rsidR="00A769AF" w:rsidRPr="00AB389B" w:rsidRDefault="00A769AF" w:rsidP="00A769AF">
            <w:pPr>
              <w:rPr>
                <w:b w:val="0"/>
                <w:bCs w:val="0"/>
              </w:rPr>
            </w:pPr>
            <w:r w:rsidRPr="00AB389B">
              <w:rPr>
                <w:b w:val="0"/>
                <w:bCs w:val="0"/>
              </w:rPr>
              <w:t>California</w:t>
            </w:r>
          </w:p>
        </w:tc>
        <w:tc>
          <w:tcPr>
            <w:tcW w:w="674" w:type="pct"/>
          </w:tcPr>
          <w:p w14:paraId="57DBC5B8"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0</w:t>
            </w:r>
          </w:p>
        </w:tc>
        <w:tc>
          <w:tcPr>
            <w:tcW w:w="1468" w:type="pct"/>
          </w:tcPr>
          <w:p w14:paraId="253D015B"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S. Fairmount</w:t>
            </w:r>
          </w:p>
        </w:tc>
        <w:tc>
          <w:tcPr>
            <w:tcW w:w="674" w:type="pct"/>
          </w:tcPr>
          <w:p w14:paraId="3069CDE9"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3</w:t>
            </w:r>
          </w:p>
        </w:tc>
      </w:tr>
      <w:tr w:rsidR="00A769AF" w14:paraId="76BA16FE"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236741F5" w14:textId="77777777" w:rsidR="00A769AF" w:rsidRPr="00AB389B" w:rsidRDefault="00A769AF" w:rsidP="00A769AF">
            <w:pPr>
              <w:rPr>
                <w:b w:val="0"/>
                <w:bCs w:val="0"/>
              </w:rPr>
            </w:pPr>
            <w:r w:rsidRPr="00AB389B">
              <w:rPr>
                <w:b w:val="0"/>
                <w:bCs w:val="0"/>
              </w:rPr>
              <w:t>Mt. Washington</w:t>
            </w:r>
          </w:p>
        </w:tc>
        <w:tc>
          <w:tcPr>
            <w:tcW w:w="674" w:type="pct"/>
          </w:tcPr>
          <w:p w14:paraId="4B5A0CA6"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27</w:t>
            </w:r>
          </w:p>
        </w:tc>
        <w:tc>
          <w:tcPr>
            <w:tcW w:w="1468" w:type="pct"/>
          </w:tcPr>
          <w:p w14:paraId="58A4226E"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Lower Price Hill</w:t>
            </w:r>
          </w:p>
        </w:tc>
        <w:tc>
          <w:tcPr>
            <w:tcW w:w="674" w:type="pct"/>
          </w:tcPr>
          <w:p w14:paraId="2BC9C5E8"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8</w:t>
            </w:r>
          </w:p>
        </w:tc>
      </w:tr>
      <w:tr w:rsidR="00A769AF" w14:paraId="57C630D4"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5C10F393" w14:textId="77777777" w:rsidR="00A769AF" w:rsidRPr="00AB389B" w:rsidRDefault="00A769AF" w:rsidP="00A769AF">
            <w:pPr>
              <w:rPr>
                <w:b w:val="0"/>
                <w:bCs w:val="0"/>
              </w:rPr>
            </w:pPr>
            <w:r w:rsidRPr="00AB389B">
              <w:rPr>
                <w:b w:val="0"/>
                <w:bCs w:val="0"/>
              </w:rPr>
              <w:t>Columbia-Tusculum</w:t>
            </w:r>
          </w:p>
        </w:tc>
        <w:tc>
          <w:tcPr>
            <w:tcW w:w="674" w:type="pct"/>
          </w:tcPr>
          <w:p w14:paraId="115D3E6C"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1</w:t>
            </w:r>
          </w:p>
        </w:tc>
        <w:tc>
          <w:tcPr>
            <w:tcW w:w="1468" w:type="pct"/>
          </w:tcPr>
          <w:p w14:paraId="41307DEA"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East Price Hill</w:t>
            </w:r>
          </w:p>
        </w:tc>
        <w:tc>
          <w:tcPr>
            <w:tcW w:w="674" w:type="pct"/>
          </w:tcPr>
          <w:p w14:paraId="7C5B5B30"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154</w:t>
            </w:r>
          </w:p>
        </w:tc>
      </w:tr>
      <w:tr w:rsidR="00A769AF" w14:paraId="1E8D1793"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694C2089" w14:textId="77777777" w:rsidR="00A769AF" w:rsidRPr="00AB389B" w:rsidRDefault="00A769AF" w:rsidP="00A769AF">
            <w:pPr>
              <w:rPr>
                <w:b w:val="0"/>
                <w:bCs w:val="0"/>
              </w:rPr>
            </w:pPr>
            <w:r w:rsidRPr="00AB389B">
              <w:rPr>
                <w:b w:val="0"/>
                <w:bCs w:val="0"/>
              </w:rPr>
              <w:t>Mt. Lookout</w:t>
            </w:r>
          </w:p>
        </w:tc>
        <w:tc>
          <w:tcPr>
            <w:tcW w:w="674" w:type="pct"/>
          </w:tcPr>
          <w:p w14:paraId="28891AB6"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9</w:t>
            </w:r>
          </w:p>
        </w:tc>
        <w:tc>
          <w:tcPr>
            <w:tcW w:w="1468" w:type="pct"/>
          </w:tcPr>
          <w:p w14:paraId="2ED28405"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West Price Hill</w:t>
            </w:r>
          </w:p>
        </w:tc>
        <w:tc>
          <w:tcPr>
            <w:tcW w:w="674" w:type="pct"/>
          </w:tcPr>
          <w:p w14:paraId="5D1F8DBB"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114</w:t>
            </w:r>
          </w:p>
        </w:tc>
      </w:tr>
      <w:tr w:rsidR="00A769AF" w14:paraId="5A5D1DCE"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25CE37AC" w14:textId="77777777" w:rsidR="00A769AF" w:rsidRPr="00AB389B" w:rsidRDefault="00A769AF" w:rsidP="00A769AF">
            <w:pPr>
              <w:rPr>
                <w:b w:val="0"/>
                <w:bCs w:val="0"/>
              </w:rPr>
            </w:pPr>
            <w:r w:rsidRPr="00AB389B">
              <w:rPr>
                <w:b w:val="0"/>
                <w:bCs w:val="0"/>
              </w:rPr>
              <w:t>Linwood</w:t>
            </w:r>
          </w:p>
        </w:tc>
        <w:tc>
          <w:tcPr>
            <w:tcW w:w="674" w:type="pct"/>
          </w:tcPr>
          <w:p w14:paraId="733A9015"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1</w:t>
            </w:r>
          </w:p>
        </w:tc>
        <w:tc>
          <w:tcPr>
            <w:tcW w:w="1468" w:type="pct"/>
          </w:tcPr>
          <w:p w14:paraId="28B6643A"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Westwood</w:t>
            </w:r>
          </w:p>
        </w:tc>
        <w:tc>
          <w:tcPr>
            <w:tcW w:w="674" w:type="pct"/>
          </w:tcPr>
          <w:p w14:paraId="782FBC70"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209</w:t>
            </w:r>
          </w:p>
        </w:tc>
      </w:tr>
      <w:tr w:rsidR="00A769AF" w14:paraId="2CA284B0"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414D5143" w14:textId="77777777" w:rsidR="00A769AF" w:rsidRPr="00AB389B" w:rsidRDefault="00A769AF" w:rsidP="00A769AF">
            <w:pPr>
              <w:rPr>
                <w:b w:val="0"/>
                <w:bCs w:val="0"/>
              </w:rPr>
            </w:pPr>
            <w:r w:rsidRPr="00AB389B">
              <w:rPr>
                <w:b w:val="0"/>
                <w:bCs w:val="0"/>
              </w:rPr>
              <w:t>Hyde Park</w:t>
            </w:r>
          </w:p>
        </w:tc>
        <w:tc>
          <w:tcPr>
            <w:tcW w:w="674" w:type="pct"/>
          </w:tcPr>
          <w:p w14:paraId="4E33409F"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20</w:t>
            </w:r>
          </w:p>
        </w:tc>
        <w:tc>
          <w:tcPr>
            <w:tcW w:w="1468" w:type="pct"/>
          </w:tcPr>
          <w:p w14:paraId="1F42DFF7"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Sedamsville</w:t>
            </w:r>
          </w:p>
        </w:tc>
        <w:tc>
          <w:tcPr>
            <w:tcW w:w="674" w:type="pct"/>
          </w:tcPr>
          <w:p w14:paraId="6396D627"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2</w:t>
            </w:r>
          </w:p>
        </w:tc>
      </w:tr>
      <w:tr w:rsidR="00A769AF" w14:paraId="19E1AAED"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71C92AB4" w14:textId="77777777" w:rsidR="00A769AF" w:rsidRPr="00AB389B" w:rsidRDefault="00A769AF" w:rsidP="00A769AF">
            <w:pPr>
              <w:rPr>
                <w:b w:val="0"/>
                <w:bCs w:val="0"/>
              </w:rPr>
            </w:pPr>
            <w:r w:rsidRPr="00AB389B">
              <w:rPr>
                <w:b w:val="0"/>
                <w:bCs w:val="0"/>
              </w:rPr>
              <w:t>Oakley</w:t>
            </w:r>
          </w:p>
        </w:tc>
        <w:tc>
          <w:tcPr>
            <w:tcW w:w="674" w:type="pct"/>
          </w:tcPr>
          <w:p w14:paraId="4D782244"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29</w:t>
            </w:r>
          </w:p>
        </w:tc>
        <w:tc>
          <w:tcPr>
            <w:tcW w:w="1468" w:type="pct"/>
          </w:tcPr>
          <w:p w14:paraId="14C773AE"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Riverside – Sayler Park</w:t>
            </w:r>
          </w:p>
        </w:tc>
        <w:tc>
          <w:tcPr>
            <w:tcW w:w="674" w:type="pct"/>
          </w:tcPr>
          <w:p w14:paraId="42ADA00B"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3</w:t>
            </w:r>
          </w:p>
        </w:tc>
      </w:tr>
      <w:tr w:rsidR="00A769AF" w14:paraId="5AE8907D"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01671347" w14:textId="77777777" w:rsidR="00A769AF" w:rsidRPr="00AB389B" w:rsidRDefault="00A769AF" w:rsidP="00A769AF">
            <w:pPr>
              <w:rPr>
                <w:b w:val="0"/>
                <w:bCs w:val="0"/>
              </w:rPr>
            </w:pPr>
            <w:r w:rsidRPr="00AB389B">
              <w:rPr>
                <w:b w:val="0"/>
                <w:bCs w:val="0"/>
              </w:rPr>
              <w:t>Madisonville</w:t>
            </w:r>
          </w:p>
        </w:tc>
        <w:tc>
          <w:tcPr>
            <w:tcW w:w="674" w:type="pct"/>
          </w:tcPr>
          <w:p w14:paraId="6A5B41B7"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18</w:t>
            </w:r>
          </w:p>
        </w:tc>
        <w:tc>
          <w:tcPr>
            <w:tcW w:w="1468" w:type="pct"/>
          </w:tcPr>
          <w:p w14:paraId="49F4E8CA"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Sayler Park</w:t>
            </w:r>
          </w:p>
        </w:tc>
        <w:tc>
          <w:tcPr>
            <w:tcW w:w="674" w:type="pct"/>
          </w:tcPr>
          <w:p w14:paraId="5393747C"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1</w:t>
            </w:r>
          </w:p>
        </w:tc>
      </w:tr>
      <w:tr w:rsidR="00A769AF" w14:paraId="3F0C4827"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26FBE447" w14:textId="77777777" w:rsidR="00A769AF" w:rsidRPr="00AB389B" w:rsidRDefault="00A769AF" w:rsidP="00A769AF">
            <w:pPr>
              <w:rPr>
                <w:b w:val="0"/>
                <w:bCs w:val="0"/>
              </w:rPr>
            </w:pPr>
            <w:r w:rsidRPr="00AB389B">
              <w:rPr>
                <w:b w:val="0"/>
                <w:bCs w:val="0"/>
              </w:rPr>
              <w:t>Pleasant Ridge</w:t>
            </w:r>
          </w:p>
        </w:tc>
        <w:tc>
          <w:tcPr>
            <w:tcW w:w="674" w:type="pct"/>
          </w:tcPr>
          <w:p w14:paraId="28713B9B"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60</w:t>
            </w:r>
          </w:p>
        </w:tc>
        <w:tc>
          <w:tcPr>
            <w:tcW w:w="1468" w:type="pct"/>
          </w:tcPr>
          <w:p w14:paraId="1B086B8C"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East Westwood</w:t>
            </w:r>
          </w:p>
        </w:tc>
        <w:tc>
          <w:tcPr>
            <w:tcW w:w="674" w:type="pct"/>
          </w:tcPr>
          <w:p w14:paraId="2D12A337"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21</w:t>
            </w:r>
          </w:p>
        </w:tc>
      </w:tr>
      <w:tr w:rsidR="00A769AF" w14:paraId="7ED4C29D"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5538CB78" w14:textId="77777777" w:rsidR="00A769AF" w:rsidRPr="00AB389B" w:rsidRDefault="00A769AF" w:rsidP="00A769AF">
            <w:pPr>
              <w:rPr>
                <w:b w:val="0"/>
                <w:bCs w:val="0"/>
              </w:rPr>
            </w:pPr>
            <w:r w:rsidRPr="00AB389B">
              <w:rPr>
                <w:b w:val="0"/>
                <w:bCs w:val="0"/>
              </w:rPr>
              <w:t>Kennedy Heights</w:t>
            </w:r>
          </w:p>
        </w:tc>
        <w:tc>
          <w:tcPr>
            <w:tcW w:w="674" w:type="pct"/>
          </w:tcPr>
          <w:p w14:paraId="7EE2A97C"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20</w:t>
            </w:r>
          </w:p>
        </w:tc>
        <w:tc>
          <w:tcPr>
            <w:tcW w:w="1468" w:type="pct"/>
          </w:tcPr>
          <w:p w14:paraId="588CF3A8"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Pendleton</w:t>
            </w:r>
          </w:p>
        </w:tc>
        <w:tc>
          <w:tcPr>
            <w:tcW w:w="674" w:type="pct"/>
          </w:tcPr>
          <w:p w14:paraId="326C4661"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0</w:t>
            </w:r>
          </w:p>
        </w:tc>
      </w:tr>
      <w:tr w:rsidR="00A769AF" w14:paraId="2FB813C8"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433AF6E6" w14:textId="77777777" w:rsidR="00A769AF" w:rsidRPr="00AB389B" w:rsidRDefault="00A769AF" w:rsidP="00A769AF">
            <w:pPr>
              <w:rPr>
                <w:b w:val="0"/>
                <w:bCs w:val="0"/>
              </w:rPr>
            </w:pPr>
            <w:r w:rsidRPr="00AB389B">
              <w:rPr>
                <w:b w:val="0"/>
                <w:bCs w:val="0"/>
              </w:rPr>
              <w:t>Hartwell</w:t>
            </w:r>
          </w:p>
        </w:tc>
        <w:tc>
          <w:tcPr>
            <w:tcW w:w="674" w:type="pct"/>
          </w:tcPr>
          <w:p w14:paraId="481EA4C1"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r>
              <w:t>42</w:t>
            </w:r>
          </w:p>
        </w:tc>
        <w:tc>
          <w:tcPr>
            <w:tcW w:w="1468" w:type="pct"/>
          </w:tcPr>
          <w:p w14:paraId="5AA359BA"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English Woods</w:t>
            </w:r>
          </w:p>
        </w:tc>
        <w:tc>
          <w:tcPr>
            <w:tcW w:w="674" w:type="pct"/>
          </w:tcPr>
          <w:p w14:paraId="47B617B3"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t>1</w:t>
            </w:r>
          </w:p>
        </w:tc>
      </w:tr>
      <w:tr w:rsidR="00A769AF" w14:paraId="5EE9D3CD" w14:textId="77777777" w:rsidTr="00A7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pct"/>
          </w:tcPr>
          <w:p w14:paraId="43DBACC2" w14:textId="77777777" w:rsidR="00A769AF" w:rsidRPr="00AB389B" w:rsidRDefault="00A769AF" w:rsidP="00A769AF">
            <w:pPr>
              <w:rPr>
                <w:b w:val="0"/>
                <w:bCs w:val="0"/>
              </w:rPr>
            </w:pPr>
            <w:r w:rsidRPr="00AB389B">
              <w:rPr>
                <w:b w:val="0"/>
                <w:bCs w:val="0"/>
              </w:rPr>
              <w:t>Carthage</w:t>
            </w:r>
          </w:p>
        </w:tc>
        <w:tc>
          <w:tcPr>
            <w:tcW w:w="674" w:type="pct"/>
          </w:tcPr>
          <w:p w14:paraId="5D7F64CB" w14:textId="77777777" w:rsidR="00A769AF" w:rsidRPr="00385D81" w:rsidRDefault="00A769AF" w:rsidP="00A769AF">
            <w:pPr>
              <w:jc w:val="right"/>
              <w:cnfStyle w:val="000000100000" w:firstRow="0" w:lastRow="0" w:firstColumn="0" w:lastColumn="0" w:oddVBand="0" w:evenVBand="0" w:oddHBand="1" w:evenHBand="0" w:firstRowFirstColumn="0" w:firstRowLastColumn="0" w:lastRowFirstColumn="0" w:lastRowLastColumn="0"/>
            </w:pPr>
            <w:r>
              <w:t>11</w:t>
            </w:r>
          </w:p>
        </w:tc>
        <w:tc>
          <w:tcPr>
            <w:tcW w:w="1468" w:type="pct"/>
          </w:tcPr>
          <w:p w14:paraId="7B4AA32C"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Riverside</w:t>
            </w:r>
          </w:p>
        </w:tc>
        <w:tc>
          <w:tcPr>
            <w:tcW w:w="674" w:type="pct"/>
          </w:tcPr>
          <w:p w14:paraId="7962D09B" w14:textId="77777777" w:rsidR="00A769AF" w:rsidRDefault="00A769AF" w:rsidP="00A769AF">
            <w:pPr>
              <w:jc w:val="right"/>
              <w:cnfStyle w:val="000000100000" w:firstRow="0" w:lastRow="0" w:firstColumn="0" w:lastColumn="0" w:oddVBand="0" w:evenVBand="0" w:oddHBand="1" w:evenHBand="0" w:firstRowFirstColumn="0" w:firstRowLastColumn="0" w:lastRowFirstColumn="0" w:lastRowLastColumn="0"/>
            </w:pPr>
            <w:r>
              <w:t>3</w:t>
            </w:r>
          </w:p>
        </w:tc>
      </w:tr>
      <w:tr w:rsidR="00A769AF" w14:paraId="6CB7E40C" w14:textId="77777777" w:rsidTr="00A769AF">
        <w:tc>
          <w:tcPr>
            <w:cnfStyle w:val="001000000000" w:firstRow="0" w:lastRow="0" w:firstColumn="1" w:lastColumn="0" w:oddVBand="0" w:evenVBand="0" w:oddHBand="0" w:evenHBand="0" w:firstRowFirstColumn="0" w:firstRowLastColumn="0" w:lastRowFirstColumn="0" w:lastRowLastColumn="0"/>
            <w:tcW w:w="2185" w:type="pct"/>
          </w:tcPr>
          <w:p w14:paraId="4B6F454D" w14:textId="77777777" w:rsidR="00A769AF" w:rsidRPr="00AB389B" w:rsidRDefault="00A769AF" w:rsidP="00A769AF">
            <w:pPr>
              <w:rPr>
                <w:b w:val="0"/>
                <w:bCs w:val="0"/>
              </w:rPr>
            </w:pPr>
          </w:p>
        </w:tc>
        <w:tc>
          <w:tcPr>
            <w:tcW w:w="674" w:type="pct"/>
          </w:tcPr>
          <w:p w14:paraId="06C26F0C" w14:textId="77777777" w:rsidR="00A769AF" w:rsidRPr="00385D81" w:rsidRDefault="00A769AF" w:rsidP="00A769AF">
            <w:pPr>
              <w:jc w:val="right"/>
              <w:cnfStyle w:val="000000000000" w:firstRow="0" w:lastRow="0" w:firstColumn="0" w:lastColumn="0" w:oddVBand="0" w:evenVBand="0" w:oddHBand="0" w:evenHBand="0" w:firstRowFirstColumn="0" w:firstRowLastColumn="0" w:lastRowFirstColumn="0" w:lastRowLastColumn="0"/>
            </w:pPr>
          </w:p>
        </w:tc>
        <w:tc>
          <w:tcPr>
            <w:tcW w:w="1468" w:type="pct"/>
          </w:tcPr>
          <w:p w14:paraId="6C2ACB31"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rsidRPr="00D8104C">
              <w:t>Millvale</w:t>
            </w:r>
          </w:p>
        </w:tc>
        <w:tc>
          <w:tcPr>
            <w:tcW w:w="674" w:type="pct"/>
          </w:tcPr>
          <w:p w14:paraId="40C1FA9B" w14:textId="77777777" w:rsidR="00A769AF" w:rsidRDefault="00A769AF" w:rsidP="00A769AF">
            <w:pPr>
              <w:jc w:val="right"/>
              <w:cnfStyle w:val="000000000000" w:firstRow="0" w:lastRow="0" w:firstColumn="0" w:lastColumn="0" w:oddVBand="0" w:evenVBand="0" w:oddHBand="0" w:evenHBand="0" w:firstRowFirstColumn="0" w:firstRowLastColumn="0" w:lastRowFirstColumn="0" w:lastRowLastColumn="0"/>
            </w:pPr>
            <w:r w:rsidRPr="00D8104C">
              <w:t>2</w:t>
            </w:r>
          </w:p>
        </w:tc>
      </w:tr>
    </w:tbl>
    <w:p w14:paraId="56C4B527" w14:textId="7323B3D4" w:rsidR="007E5707" w:rsidRDefault="007E5707" w:rsidP="009A6C34">
      <w:r>
        <w:t xml:space="preserve">Looking at the number of confirmed cases by neighborhood does not consider that some neighborhoods are huge.  </w:t>
      </w:r>
      <w:r w:rsidR="001649BC">
        <w:t>So,</w:t>
      </w:r>
      <w:r>
        <w:t xml:space="preserve"> we can calculate confirmed cases per capita.  Avondale has a population of 13,967 and 47 confirmed cases or .0034 per capita.  East Price Hill has a population of </w:t>
      </w:r>
      <w:r w:rsidR="00415EB0">
        <w:t>14,224</w:t>
      </w:r>
      <w:r>
        <w:t xml:space="preserve"> and 154 cases or a per </w:t>
      </w:r>
      <w:r>
        <w:lastRenderedPageBreak/>
        <w:t>capita occurrence of .0</w:t>
      </w:r>
      <w:r w:rsidR="00415EB0">
        <w:t>108</w:t>
      </w:r>
      <w:r>
        <w:t xml:space="preserve">.  Bond Hill has a population of </w:t>
      </w:r>
      <w:r w:rsidR="00415EB0">
        <w:t>6,826</w:t>
      </w:r>
      <w:r>
        <w:t xml:space="preserve"> and 29 confirmed cases.  Its per capita rate is .004</w:t>
      </w:r>
      <w:r w:rsidR="00415EB0">
        <w:t>2</w:t>
      </w:r>
      <w:r w:rsidR="00B165FD">
        <w:t xml:space="preserve">   West Price Hill has a population of 19,443 with 114 confirmed cases</w:t>
      </w:r>
      <w:r>
        <w:t xml:space="preserve"> </w:t>
      </w:r>
      <w:r w:rsidR="00B165FD">
        <w:t xml:space="preserve">or .0006 per capita.  </w:t>
      </w:r>
      <w:r w:rsidR="001649BC">
        <w:t>So,</w:t>
      </w:r>
      <w:r>
        <w:t xml:space="preserve"> neighborhood size does not totally determine the difference. Other factors to consider is the amount of testing in the </w:t>
      </w:r>
      <w:r w:rsidR="00776839">
        <w:t>neighborhoods</w:t>
      </w:r>
      <w:r>
        <w:t xml:space="preserve"> and the number of people in nursing homes.  Seventy percent of Ohio’s coronavirus cases are found in nursing homes.</w:t>
      </w:r>
    </w:p>
    <w:p w14:paraId="5ADD3540" w14:textId="24529B95" w:rsidR="007E5707" w:rsidRDefault="00776839" w:rsidP="00776839">
      <w:pPr>
        <w:pStyle w:val="Heading2"/>
      </w:pPr>
      <w:r>
        <w:t>Anomalies</w:t>
      </w:r>
      <w:r w:rsidR="007E5707">
        <w:t xml:space="preserve"> in the Data</w:t>
      </w:r>
    </w:p>
    <w:p w14:paraId="178EDCFE" w14:textId="5BC8B9EB" w:rsidR="007E5707" w:rsidRDefault="007E5707" w:rsidP="009A6C34">
      <w:r>
        <w:t>Neighborhoods along the Ohio River, along Mill Creek and in the Basi</w:t>
      </w:r>
      <w:r w:rsidR="00415EB0">
        <w:t>n</w:t>
      </w:r>
      <w:r>
        <w:t xml:space="preserve"> Area (Downtown, Queensgate, West End, Over-the-Rhine, Pendleton) have very low numbers of occurrence.  Some, like Queensgate have small populations but neighborhoods like South Fairmount, Camp Washington, and Over-the-</w:t>
      </w:r>
      <w:r w:rsidR="00776839">
        <w:t>R</w:t>
      </w:r>
      <w:r>
        <w:t xml:space="preserve">hine have significant low income and presumably </w:t>
      </w:r>
      <w:r w:rsidR="00A769AF">
        <w:t>at-risk</w:t>
      </w:r>
      <w:r>
        <w:t xml:space="preserve"> </w:t>
      </w:r>
      <w:r w:rsidR="00776839">
        <w:t xml:space="preserve">populations and yet have numbers like Pendleton (10), English Woods (1), and Over-the-Rhine (7).  I know these neighborhoods have no nursing homes and some like Over-the-Rhine and West End have significant gentrification.  I still find the Health Department’s number of </w:t>
      </w:r>
      <w:r w:rsidR="001649BC">
        <w:t>cases</w:t>
      </w:r>
      <w:r w:rsidR="00776839">
        <w:t xml:space="preserve"> for these areas incredible.  I think testing has not been available and suspect that people are getting sick and their illness is not being recorded.</w:t>
      </w:r>
    </w:p>
    <w:p w14:paraId="38145C23" w14:textId="6850E51F" w:rsidR="006744F0" w:rsidRDefault="006744F0" w:rsidP="009A6C34">
      <w:r>
        <w:t>Conclusions</w:t>
      </w:r>
    </w:p>
    <w:p w14:paraId="727D6667" w14:textId="40BACF8E" w:rsidR="00776839" w:rsidRDefault="00776839" w:rsidP="009A6C34">
      <w:r>
        <w:t>If Cincinnati is to continue recovering from the first phase of the Covid-19 pandemic and prepare for a possible phase two, we need to have testing centers throughout the city including low income and minority concentrations.  Testing needs to be universal in nursing homes and places of incarceration, of course.  Pharmacies and grocery stores are good but why not open the neighborhood health clinics, school-based health center</w:t>
      </w:r>
      <w:r w:rsidR="00415EB0">
        <w:t>s,</w:t>
      </w:r>
      <w:r>
        <w:t xml:space="preserve"> and even churches and storefronts.  Right </w:t>
      </w:r>
      <w:r w:rsidR="001649BC">
        <w:t>now,</w:t>
      </w:r>
      <w:r>
        <w:t xml:space="preserve"> I believe there are serious questions of equity in the allocation of resources.  The failure to make testing available more broadly and fairly and the early failure to record race and ethnicity data needs the attention of our government at all levels throughout Cincinnati and the Tri-State.</w:t>
      </w:r>
      <w:r w:rsidR="00415EB0">
        <w:t xml:space="preserve">  Community leaders in smaller often left out areas need to be involved in decisions about allocating new public health resources such as outreach workers.  African American, Appalachian and Hispanic organizations must be involved.</w:t>
      </w:r>
    </w:p>
    <w:p w14:paraId="1E49EAA8" w14:textId="77777777" w:rsidR="00854020" w:rsidRDefault="00854020">
      <w:pPr>
        <w:rPr>
          <w:i/>
          <w:iCs/>
          <w:color w:val="44546A" w:themeColor="text2"/>
          <w:sz w:val="18"/>
          <w:szCs w:val="18"/>
        </w:rPr>
      </w:pPr>
      <w:r>
        <w:br w:type="page"/>
      </w:r>
    </w:p>
    <w:p w14:paraId="70CB7ADB" w14:textId="4D8C66A0" w:rsidR="00D8104C" w:rsidRDefault="00D8104C" w:rsidP="00D8104C">
      <w:pPr>
        <w:pStyle w:val="Caption"/>
        <w:keepNext/>
        <w:spacing w:after="0"/>
      </w:pPr>
      <w:r>
        <w:lastRenderedPageBreak/>
        <w:t>Table 3: Covid-19 Virus Confirmed Cases by Neighborhood</w:t>
      </w:r>
    </w:p>
    <w:p w14:paraId="676869C8" w14:textId="77777777" w:rsidR="00D8104C" w:rsidRPr="000A7E9A" w:rsidRDefault="00D8104C" w:rsidP="00D8104C">
      <w:pPr>
        <w:jc w:val="right"/>
        <w:rPr>
          <w:i/>
          <w:iCs/>
        </w:rPr>
      </w:pPr>
      <w:r w:rsidRPr="000A7E9A">
        <w:rPr>
          <w:i/>
          <w:iCs/>
        </w:rPr>
        <w:t>Source: Cincinnati Health Department June 1, 2020</w:t>
      </w:r>
    </w:p>
    <w:p w14:paraId="25D4D3BB" w14:textId="77777777" w:rsidR="00D8104C" w:rsidRDefault="00D8104C" w:rsidP="009A6C34"/>
    <w:p w14:paraId="35D07D7E" w14:textId="59B94391" w:rsidR="00776839" w:rsidRPr="001649BC" w:rsidRDefault="00776839" w:rsidP="009A6C34">
      <w:pPr>
        <w:rPr>
          <w:i/>
          <w:iCs/>
        </w:rPr>
      </w:pPr>
      <w:r w:rsidRPr="001649BC">
        <w:rPr>
          <w:i/>
          <w:iCs/>
        </w:rPr>
        <w:t xml:space="preserve">Michael Maloney is Convener of the Urban Appalachian Community Coalition, a community organizer and social researcher.  His publications include the </w:t>
      </w:r>
      <w:r w:rsidR="001313A1" w:rsidRPr="001649BC">
        <w:rPr>
          <w:i/>
          <w:iCs/>
        </w:rPr>
        <w:t xml:space="preserve">five editions of the </w:t>
      </w:r>
      <w:r w:rsidRPr="001649BC">
        <w:rPr>
          <w:i/>
          <w:iCs/>
        </w:rPr>
        <w:t>Social Areas of Cincinnati: An Analysis of Social Needs (vol</w:t>
      </w:r>
      <w:r w:rsidR="00415EB0">
        <w:rPr>
          <w:i/>
          <w:iCs/>
        </w:rPr>
        <w:t>s</w:t>
      </w:r>
      <w:r w:rsidRPr="001649BC">
        <w:rPr>
          <w:i/>
          <w:iCs/>
        </w:rPr>
        <w:t>. 4-5 with Christopher Auffrey).</w:t>
      </w:r>
    </w:p>
    <w:sectPr w:rsidR="00776839" w:rsidRPr="00164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99"/>
    <w:rsid w:val="00076F99"/>
    <w:rsid w:val="000F7E1C"/>
    <w:rsid w:val="001313A1"/>
    <w:rsid w:val="00152EBC"/>
    <w:rsid w:val="001649BC"/>
    <w:rsid w:val="00415EB0"/>
    <w:rsid w:val="00510D66"/>
    <w:rsid w:val="00632D3C"/>
    <w:rsid w:val="006744F0"/>
    <w:rsid w:val="00776839"/>
    <w:rsid w:val="007E5707"/>
    <w:rsid w:val="007F1DB6"/>
    <w:rsid w:val="00854020"/>
    <w:rsid w:val="009A6C34"/>
    <w:rsid w:val="00A769AF"/>
    <w:rsid w:val="00AB389B"/>
    <w:rsid w:val="00B165FD"/>
    <w:rsid w:val="00C00765"/>
    <w:rsid w:val="00C309D6"/>
    <w:rsid w:val="00D8104C"/>
    <w:rsid w:val="00D91C93"/>
    <w:rsid w:val="00EB275F"/>
    <w:rsid w:val="00F3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676B"/>
  <w15:chartTrackingRefBased/>
  <w15:docId w15:val="{55EE7D33-DA79-4CE4-85C1-6DDF2B9C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07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07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07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07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0765"/>
    <w:rPr>
      <w:rFonts w:asciiTheme="majorHAnsi" w:eastAsiaTheme="majorEastAsia" w:hAnsiTheme="majorHAnsi" w:cstheme="majorBidi"/>
      <w:color w:val="1F3763" w:themeColor="accent1" w:themeShade="7F"/>
      <w:sz w:val="24"/>
      <w:szCs w:val="24"/>
    </w:rPr>
  </w:style>
  <w:style w:type="table" w:styleId="GridTable5Dark-Accent5">
    <w:name w:val="Grid Table 5 Dark Accent 5"/>
    <w:basedOn w:val="TableNormal"/>
    <w:uiPriority w:val="50"/>
    <w:rsid w:val="00C007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ubtitle">
    <w:name w:val="Subtitle"/>
    <w:basedOn w:val="Normal"/>
    <w:next w:val="Normal"/>
    <w:link w:val="SubtitleChar"/>
    <w:uiPriority w:val="11"/>
    <w:qFormat/>
    <w:rsid w:val="001313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13A1"/>
    <w:rPr>
      <w:rFonts w:eastAsiaTheme="minorEastAsia"/>
      <w:color w:val="5A5A5A" w:themeColor="text1" w:themeTint="A5"/>
      <w:spacing w:val="15"/>
    </w:rPr>
  </w:style>
  <w:style w:type="paragraph" w:styleId="Caption">
    <w:name w:val="caption"/>
    <w:basedOn w:val="Normal"/>
    <w:next w:val="Normal"/>
    <w:uiPriority w:val="35"/>
    <w:unhideWhenUsed/>
    <w:qFormat/>
    <w:rsid w:val="001313A1"/>
    <w:pPr>
      <w:spacing w:after="200" w:line="240" w:lineRule="auto"/>
    </w:pPr>
    <w:rPr>
      <w:i/>
      <w:iCs/>
      <w:color w:val="44546A" w:themeColor="text2"/>
      <w:sz w:val="18"/>
      <w:szCs w:val="18"/>
    </w:rPr>
  </w:style>
  <w:style w:type="table" w:styleId="GridTable4-Accent5">
    <w:name w:val="Grid Table 4 Accent 5"/>
    <w:basedOn w:val="TableNormal"/>
    <w:uiPriority w:val="49"/>
    <w:rsid w:val="00D8104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Erinn Sweet</cp:lastModifiedBy>
  <cp:revision>2</cp:revision>
  <cp:lastPrinted>2020-12-05T20:47:00Z</cp:lastPrinted>
  <dcterms:created xsi:type="dcterms:W3CDTF">2020-12-05T21:42:00Z</dcterms:created>
  <dcterms:modified xsi:type="dcterms:W3CDTF">2020-12-05T21:42:00Z</dcterms:modified>
</cp:coreProperties>
</file>